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三明市城市建设发展集团有限公司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瑞云智慧新城下罗安置房施工变工程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瑞云智慧新城下罗安置房施工变工程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瑞云智慧新城下罗安置房施工变工程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1-3.报价函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80" w:lineRule="exact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人民币（大写）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元整（小写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 xml:space="preserve">       （即下浮率：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%）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2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工期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ind w:firstLine="105" w:firstLineChars="5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2"/>
                <w:shd w:val="clear" w:color="auto" w:fill="FFFFFF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12D83D85"/>
    <w:rsid w:val="15753D2B"/>
    <w:rsid w:val="1B3B1658"/>
    <w:rsid w:val="1BDA14AF"/>
    <w:rsid w:val="20D277A0"/>
    <w:rsid w:val="27C43285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76F36E5"/>
    <w:rsid w:val="48A06FE7"/>
    <w:rsid w:val="48FE6CDB"/>
    <w:rsid w:val="4AE92DC6"/>
    <w:rsid w:val="4B0561C1"/>
    <w:rsid w:val="4C1B19B4"/>
    <w:rsid w:val="4D231C06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9CA50FF"/>
    <w:rsid w:val="6AE41559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AB06B94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2023-06-21T03:17:46Z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FA766C902C514B2297F64BEC7081245A</vt:lpwstr>
  </property>
</Properties>
</file>