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AF5D0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7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4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：评价办法</w:t>
      </w:r>
    </w:p>
    <w:bookmarkEnd w:id="7"/>
    <w:p w14:paraId="762CBC07"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2425EA04"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综合评价中选法</w:t>
      </w:r>
    </w:p>
    <w:p w14:paraId="710DCA48"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本比选项目采用</w:t>
      </w:r>
      <w:r>
        <w:rPr>
          <w:rFonts w:hint="eastAsia" w:cs="宋体"/>
          <w:b w:val="0"/>
          <w:bCs w:val="0"/>
          <w:color w:val="auto"/>
          <w:sz w:val="28"/>
          <w:szCs w:val="28"/>
          <w:highlight w:val="none"/>
          <w:lang w:eastAsia="zh-CN"/>
        </w:rPr>
        <w:t>综合评价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中选法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。</w:t>
      </w:r>
    </w:p>
    <w:p w14:paraId="1F9B1AED"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若资格条件、报价符合要求的比选申请人仅有1家时，直接确定其为候选单位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。</w:t>
      </w:r>
    </w:p>
    <w:p w14:paraId="66FE51E3"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②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若资格条件、报价符合要求的比选申请人数量超过1家时，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符合要求的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按照本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评价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办法中规定的各项因素进行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综合评价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，并根据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申请人的综合得分由高到低排序，综合得分最高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的为第一中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候选人，以此类推选择第二、第三中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候选人。</w:t>
      </w:r>
    </w:p>
    <w:p w14:paraId="5CD38F8F"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当出现二个或二个以上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综合得分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依次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按照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highlight w:val="none"/>
          <w:u w:val="single"/>
          <w:lang w:eastAsia="zh-CN"/>
        </w:rPr>
        <w:t>比选</w:t>
      </w: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highlight w:val="none"/>
          <w:u w:val="single"/>
        </w:rPr>
        <w:t>报价由低到高、商务技术部分</w:t>
      </w: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highlight w:val="none"/>
          <w:u w:val="single"/>
          <w:lang w:eastAsia="zh-CN"/>
        </w:rPr>
        <w:t>得分由高到低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进行排序，若上述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两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项均相同时，由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以比选申请人提交比选申请书的签到号作为代表号（代表号不再另行抽取）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进行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随机抽取，先抽取出来的球号排序在前。</w:t>
      </w:r>
    </w:p>
    <w:p w14:paraId="5AE72AF7"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各项因素分值如下：</w:t>
      </w:r>
    </w:p>
    <w:p w14:paraId="25CADDF7"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价格部分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满分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u w:val="single"/>
        </w:rPr>
        <w:t>30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 w14:paraId="48B203BF"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/>
          <w:b/>
          <w:bCs/>
          <w:color w:val="auto"/>
          <w:sz w:val="28"/>
          <w:szCs w:val="28"/>
          <w:highlight w:val="none"/>
        </w:rPr>
        <w:t>商务技术部分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满分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>70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 w14:paraId="31DE99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480"/>
        <w:jc w:val="left"/>
        <w:textAlignment w:val="auto"/>
        <w:rPr>
          <w:rFonts w:ascii="宋体" w:hAnsi="宋体" w:cs="宋体"/>
          <w:color w:val="auto"/>
          <w:kern w:val="1"/>
          <w:sz w:val="28"/>
          <w:szCs w:val="28"/>
          <w:highlight w:val="none"/>
        </w:rPr>
      </w:pPr>
    </w:p>
    <w:p w14:paraId="6311E599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both"/>
        <w:textAlignment w:val="auto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第一部分  价格部分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eastAsia="zh-CN"/>
        </w:rPr>
        <w:t>评价标准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</w:p>
    <w:tbl>
      <w:tblPr>
        <w:tblStyle w:val="21"/>
        <w:tblpPr w:leftFromText="180" w:rightFromText="180" w:vertAnchor="text" w:horzAnchor="page" w:tblpX="1142" w:tblpY="431"/>
        <w:tblOverlap w:val="never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381"/>
        <w:gridCol w:w="1374"/>
        <w:gridCol w:w="6285"/>
      </w:tblGrid>
      <w:tr w14:paraId="29C37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tblHeader/>
        </w:trPr>
        <w:tc>
          <w:tcPr>
            <w:tcW w:w="815" w:type="dxa"/>
            <w:noWrap w:val="0"/>
            <w:vAlign w:val="center"/>
          </w:tcPr>
          <w:p w14:paraId="3DC74FFF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0" w:name="_Toc9384"/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序号</w:t>
            </w:r>
            <w:bookmarkEnd w:id="0"/>
          </w:p>
        </w:tc>
        <w:tc>
          <w:tcPr>
            <w:tcW w:w="1381" w:type="dxa"/>
            <w:noWrap w:val="0"/>
            <w:vAlign w:val="center"/>
          </w:tcPr>
          <w:p w14:paraId="4C98BCBD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1" w:name="_Toc14026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项目</w:t>
            </w:r>
            <w:bookmarkEnd w:id="1"/>
          </w:p>
        </w:tc>
        <w:tc>
          <w:tcPr>
            <w:tcW w:w="1374" w:type="dxa"/>
            <w:noWrap w:val="0"/>
            <w:vAlign w:val="center"/>
          </w:tcPr>
          <w:p w14:paraId="6499F0D9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2" w:name="_Toc29875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分值</w:t>
            </w:r>
            <w:bookmarkEnd w:id="2"/>
          </w:p>
        </w:tc>
        <w:tc>
          <w:tcPr>
            <w:tcW w:w="6285" w:type="dxa"/>
            <w:noWrap w:val="0"/>
            <w:vAlign w:val="center"/>
          </w:tcPr>
          <w:p w14:paraId="782A7C17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3" w:name="_Toc26366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标准</w:t>
            </w:r>
            <w:bookmarkEnd w:id="3"/>
          </w:p>
        </w:tc>
      </w:tr>
      <w:tr w14:paraId="49FBC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dxa"/>
            <w:noWrap w:val="0"/>
            <w:vAlign w:val="center"/>
          </w:tcPr>
          <w:p w14:paraId="28FF6D55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280" w:firstLineChars="1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bookmarkStart w:id="4" w:name="_Toc1259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1</w:t>
            </w:r>
            <w:bookmarkEnd w:id="4"/>
          </w:p>
        </w:tc>
        <w:tc>
          <w:tcPr>
            <w:tcW w:w="1381" w:type="dxa"/>
            <w:noWrap w:val="0"/>
            <w:vAlign w:val="center"/>
          </w:tcPr>
          <w:p w14:paraId="0FE75700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bookmarkStart w:id="5" w:name="_Toc1630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报价得分</w:t>
            </w:r>
            <w:bookmarkEnd w:id="5"/>
          </w:p>
        </w:tc>
        <w:tc>
          <w:tcPr>
            <w:tcW w:w="1374" w:type="dxa"/>
            <w:noWrap w:val="0"/>
            <w:vAlign w:val="center"/>
          </w:tcPr>
          <w:p w14:paraId="1096BD9B">
            <w:pPr>
              <w:pStyle w:val="2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分</w:t>
            </w:r>
          </w:p>
        </w:tc>
        <w:tc>
          <w:tcPr>
            <w:tcW w:w="6285" w:type="dxa"/>
            <w:noWrap w:val="0"/>
            <w:vAlign w:val="center"/>
          </w:tcPr>
          <w:p w14:paraId="61A73DC2">
            <w:pPr>
              <w:pStyle w:val="5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报价得分＝（评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基准价/比选报价）×100×30%（注：满足比选文件要求且比选价格最低的比选报价为评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基准价。）最低报价不是中选的唯一依据。</w:t>
            </w:r>
          </w:p>
          <w:p w14:paraId="2D876826">
            <w:pPr>
              <w:pStyle w:val="5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0" w:lineRule="exact"/>
              <w:ind w:left="0" w:leftChars="0" w:righ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评估基准价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 xml:space="preserve">取整数（以“元”为单位，小数点后第一位四舍五入,第二位及以后不计）。 </w:t>
            </w:r>
          </w:p>
          <w:p w14:paraId="7E2B4486">
            <w:pPr>
              <w:pStyle w:val="5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2.比选报价得分小数点后保留两位，第三位“四舍五入”，第四位及以后不计。</w:t>
            </w:r>
          </w:p>
        </w:tc>
      </w:tr>
    </w:tbl>
    <w:p w14:paraId="180DF7C1">
      <w:pPr>
        <w:pStyle w:val="20"/>
        <w:jc w:val="both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bookmarkStart w:id="6" w:name="_Toc17988"/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 xml:space="preserve">第二部分  </w:t>
      </w:r>
      <w:r>
        <w:rPr>
          <w:rFonts w:hint="eastAsia"/>
          <w:b/>
          <w:bCs/>
          <w:color w:val="auto"/>
          <w:sz w:val="28"/>
          <w:szCs w:val="28"/>
          <w:highlight w:val="none"/>
        </w:rPr>
        <w:t>商务技术部分</w:t>
      </w:r>
      <w:r>
        <w:rPr>
          <w:rFonts w:hint="eastAsia" w:ascii="宋体" w:hAnsi="宋体" w:cs="宋体"/>
          <w:b/>
          <w:color w:val="auto"/>
          <w:sz w:val="28"/>
          <w:szCs w:val="36"/>
          <w:highlight w:val="none"/>
          <w:lang w:eastAsia="zh-CN"/>
        </w:rPr>
        <w:t>评价标准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u w:val="single"/>
          <w:lang w:val="en-US" w:eastAsia="zh-CN"/>
        </w:rPr>
        <w:t>70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</w:p>
    <w:tbl>
      <w:tblPr>
        <w:tblStyle w:val="21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357"/>
        <w:gridCol w:w="1389"/>
        <w:gridCol w:w="6272"/>
      </w:tblGrid>
      <w:tr w14:paraId="1A4A6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tblHeader/>
          <w:jc w:val="center"/>
        </w:trPr>
        <w:tc>
          <w:tcPr>
            <w:tcW w:w="827" w:type="dxa"/>
            <w:noWrap w:val="0"/>
            <w:vAlign w:val="center"/>
          </w:tcPr>
          <w:p w14:paraId="29C88D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57" w:type="dxa"/>
            <w:noWrap w:val="0"/>
            <w:vAlign w:val="center"/>
          </w:tcPr>
          <w:p w14:paraId="45D159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项目</w:t>
            </w:r>
          </w:p>
        </w:tc>
        <w:tc>
          <w:tcPr>
            <w:tcW w:w="1389" w:type="dxa"/>
            <w:noWrap w:val="0"/>
            <w:vAlign w:val="center"/>
          </w:tcPr>
          <w:p w14:paraId="31D600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分值</w:t>
            </w:r>
          </w:p>
        </w:tc>
        <w:tc>
          <w:tcPr>
            <w:tcW w:w="6272" w:type="dxa"/>
            <w:noWrap w:val="0"/>
            <w:vAlign w:val="center"/>
          </w:tcPr>
          <w:p w14:paraId="5B3610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评价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标准</w:t>
            </w:r>
          </w:p>
        </w:tc>
      </w:tr>
      <w:tr w14:paraId="077F9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noWrap w:val="0"/>
            <w:vAlign w:val="center"/>
          </w:tcPr>
          <w:p w14:paraId="2F81724B">
            <w:pPr>
              <w:pStyle w:val="7"/>
              <w:snapToGrid w:val="0"/>
              <w:spacing w:line="4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357" w:type="dxa"/>
            <w:noWrap w:val="0"/>
            <w:vAlign w:val="center"/>
          </w:tcPr>
          <w:p w14:paraId="13A7FE6A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企业业绩情况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得分</w:t>
            </w:r>
          </w:p>
        </w:tc>
        <w:tc>
          <w:tcPr>
            <w:tcW w:w="1389" w:type="dxa"/>
            <w:noWrap w:val="0"/>
            <w:vAlign w:val="center"/>
          </w:tcPr>
          <w:p w14:paraId="0C1C4512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25分</w:t>
            </w:r>
          </w:p>
        </w:tc>
        <w:tc>
          <w:tcPr>
            <w:tcW w:w="6272" w:type="dxa"/>
            <w:noWrap w:val="0"/>
            <w:vAlign w:val="center"/>
          </w:tcPr>
          <w:p w14:paraId="41EC3B75">
            <w:pPr>
              <w:pStyle w:val="54"/>
              <w:spacing w:before="0" w:after="0" w:line="440" w:lineRule="exact"/>
              <w:rPr>
                <w:rFonts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A.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比选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申请人企业业绩满足资格条件的，得15分；每增加一项自本比选公告之日的前一年内（含公告发布之日）户数不少于500户的清运证明的，得2分。</w:t>
            </w:r>
          </w:p>
          <w:p w14:paraId="11FC2D86">
            <w:pPr>
              <w:pStyle w:val="54"/>
              <w:spacing w:before="0" w:after="0"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注：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本项满分25分。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需提供类似业绩合同复印件，以及其它能证明的材料，业绩时间以业绩合同签订之日为准。</w:t>
            </w:r>
          </w:p>
        </w:tc>
      </w:tr>
      <w:tr w14:paraId="6A0D3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restart"/>
            <w:noWrap w:val="0"/>
            <w:vAlign w:val="center"/>
          </w:tcPr>
          <w:p w14:paraId="21934278">
            <w:pPr>
              <w:pStyle w:val="7"/>
              <w:snapToGrid w:val="0"/>
              <w:spacing w:line="4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357" w:type="dxa"/>
            <w:vMerge w:val="restart"/>
            <w:noWrap w:val="0"/>
            <w:vAlign w:val="center"/>
          </w:tcPr>
          <w:p w14:paraId="399D3C14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具备履行合同所必需的设备和专业技术能力情况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得分</w:t>
            </w:r>
          </w:p>
        </w:tc>
        <w:tc>
          <w:tcPr>
            <w:tcW w:w="1389" w:type="dxa"/>
            <w:noWrap w:val="0"/>
            <w:vAlign w:val="center"/>
          </w:tcPr>
          <w:p w14:paraId="4D86EDC6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21分</w:t>
            </w:r>
          </w:p>
        </w:tc>
        <w:tc>
          <w:tcPr>
            <w:tcW w:w="6272" w:type="dxa"/>
            <w:noWrap w:val="0"/>
            <w:vAlign w:val="center"/>
          </w:tcPr>
          <w:p w14:paraId="0BF6948E">
            <w:pPr>
              <w:pStyle w:val="54"/>
              <w:spacing w:before="0" w:after="0" w:line="440" w:lineRule="exact"/>
              <w:rPr>
                <w:rFonts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B.根据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比选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申请人拟投入专业四轮垃圾代运密闭车情况进行评估：承诺中选后投入6辆四轮垃圾代运密闭车的，得12分，每增加1辆，加3分；承诺中选后投入少于6辆四轮垃圾代运密闭车的，不得分。</w:t>
            </w:r>
          </w:p>
          <w:p w14:paraId="159CCDB5">
            <w:pPr>
              <w:pStyle w:val="19"/>
              <w:spacing w:before="0" w:beforeAutospacing="0" w:after="0" w:afterAutospacing="0" w:line="49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8"/>
                <w:szCs w:val="28"/>
                <w:highlight w:val="none"/>
              </w:rPr>
              <w:t>注：</w:t>
            </w:r>
            <w:r>
              <w:rPr>
                <w:rFonts w:hint="eastAsia"/>
                <w:color w:val="auto"/>
                <w:kern w:val="1"/>
                <w:sz w:val="28"/>
                <w:szCs w:val="28"/>
                <w:highlight w:val="none"/>
              </w:rPr>
              <w:t>本项满分21分。需提供承诺函并明确拟投入车辆数量</w:t>
            </w:r>
            <w:r>
              <w:rPr>
                <w:rFonts w:hint="eastAsia"/>
                <w:color w:val="auto"/>
                <w:sz w:val="28"/>
                <w:szCs w:val="28"/>
                <w:highlight w:val="none"/>
              </w:rPr>
              <w:t>（格式自拟）</w:t>
            </w:r>
            <w:r>
              <w:rPr>
                <w:rFonts w:hint="eastAsia"/>
                <w:color w:val="auto"/>
                <w:kern w:val="1"/>
                <w:sz w:val="28"/>
                <w:szCs w:val="28"/>
                <w:highlight w:val="none"/>
              </w:rPr>
              <w:t>。</w:t>
            </w:r>
            <w:r>
              <w:rPr>
                <w:rFonts w:hint="eastAsia"/>
                <w:color w:val="auto"/>
                <w:sz w:val="28"/>
                <w:szCs w:val="28"/>
                <w:highlight w:val="none"/>
              </w:rPr>
              <w:t>专业四轮垃圾代运密闭车辆可为自有或租赁车辆。</w:t>
            </w:r>
          </w:p>
        </w:tc>
      </w:tr>
      <w:tr w14:paraId="7ABEA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 w14:paraId="3671F012">
            <w:pPr>
              <w:pStyle w:val="7"/>
              <w:snapToGrid w:val="0"/>
              <w:spacing w:line="4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 w14:paraId="24AFA39C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 w14:paraId="6424608B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24分</w:t>
            </w:r>
          </w:p>
        </w:tc>
        <w:tc>
          <w:tcPr>
            <w:tcW w:w="6272" w:type="dxa"/>
            <w:noWrap w:val="0"/>
            <w:vAlign w:val="center"/>
          </w:tcPr>
          <w:p w14:paraId="78AD0401">
            <w:pPr>
              <w:numPr>
                <w:ilvl w:val="0"/>
                <w:numId w:val="1"/>
              </w:numPr>
              <w:spacing w:line="440" w:lineRule="exact"/>
              <w:rPr>
                <w:rFonts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根据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比选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申请人拟派出清运操作人员情况进行评估：拟派出6组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清运操作人员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（每组包含1名司机和1名装卸工)得12分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每增加1组清运操作人员，加4分。</w:t>
            </w:r>
          </w:p>
          <w:p w14:paraId="74D218E8">
            <w:pPr>
              <w:spacing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注：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本项满分24分。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需提供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人员汇总表（格式自拟）；近三个月社保缴纳证明原件。清运操作人员应为比选申请人的本企业在岗人员，以社保部门出具的社保缴纳证明所属单位为准。</w:t>
            </w:r>
          </w:p>
        </w:tc>
      </w:tr>
      <w:tr w14:paraId="63FEA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45" w:type="dxa"/>
            <w:gridSpan w:val="4"/>
            <w:noWrap w:val="0"/>
            <w:vAlign w:val="center"/>
          </w:tcPr>
          <w:p w14:paraId="617DE9B7">
            <w:pPr>
              <w:tabs>
                <w:tab w:val="left" w:pos="312"/>
              </w:tabs>
              <w:spacing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注：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以上证明材料均应加盖比选申请人单位公章。</w:t>
            </w:r>
          </w:p>
        </w:tc>
      </w:tr>
      <w:bookmarkEnd w:id="6"/>
    </w:tbl>
    <w:p w14:paraId="5CE5C8EE">
      <w:pPr>
        <w:pStyle w:val="12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113E32"/>
    <w:multiLevelType w:val="singleLevel"/>
    <w:tmpl w:val="D7113E32"/>
    <w:lvl w:ilvl="0" w:tentative="0">
      <w:start w:val="3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33387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27EDF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6C7932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427DB4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5F1C0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13A8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B55DE0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82569C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7D6BBD"/>
    <w:rsid w:val="48885DB2"/>
    <w:rsid w:val="48934611"/>
    <w:rsid w:val="48BD64DD"/>
    <w:rsid w:val="494B3E8B"/>
    <w:rsid w:val="49A63EF1"/>
    <w:rsid w:val="49D70C24"/>
    <w:rsid w:val="4A617E1F"/>
    <w:rsid w:val="4A8C1339"/>
    <w:rsid w:val="4AA63EC3"/>
    <w:rsid w:val="4AB93531"/>
    <w:rsid w:val="4ACC6915"/>
    <w:rsid w:val="4BD25472"/>
    <w:rsid w:val="4C237A7B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253A76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B55EFF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C95C92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CBA2414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84662B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6236C0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B15AF2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2CC4119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49027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6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3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7">
    <w:name w:val="Normal Indent"/>
    <w:basedOn w:val="1"/>
    <w:qFormat/>
    <w:uiPriority w:val="0"/>
    <w:pPr>
      <w:ind w:firstLine="420"/>
    </w:pPr>
  </w:style>
  <w:style w:type="paragraph" w:styleId="8">
    <w:name w:val="annotation text"/>
    <w:basedOn w:val="1"/>
    <w:autoRedefine/>
    <w:unhideWhenUsed/>
    <w:qFormat/>
    <w:uiPriority w:val="99"/>
    <w:pPr>
      <w:jc w:val="left"/>
    </w:pPr>
  </w:style>
  <w:style w:type="paragraph" w:styleId="9">
    <w:name w:val="Body Text"/>
    <w:basedOn w:val="1"/>
    <w:next w:val="10"/>
    <w:autoRedefine/>
    <w:qFormat/>
    <w:uiPriority w:val="0"/>
    <w:pPr>
      <w:spacing w:line="380" w:lineRule="exact"/>
    </w:pPr>
    <w:rPr>
      <w:sz w:val="24"/>
    </w:rPr>
  </w:style>
  <w:style w:type="paragraph" w:styleId="10">
    <w:name w:val="Body Text First Indent"/>
    <w:basedOn w:val="9"/>
    <w:next w:val="11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1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3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7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8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5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3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4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20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7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4884</Words>
  <Characters>5180</Characters>
  <Lines>16</Lines>
  <Paragraphs>4</Paragraphs>
  <TotalTime>18</TotalTime>
  <ScaleCrop>false</ScaleCrop>
  <LinksUpToDate>false</LinksUpToDate>
  <CharactersWithSpaces>5560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2024-12-05T07:34:58Z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20BB53B1F2934F93AE2E7C815DDAE9D4_13</vt:lpwstr>
  </property>
</Properties>
</file>