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67BF9">
      <w:pPr>
        <w:spacing w:line="400" w:lineRule="auto"/>
        <w:ind w:firstLine="3253" w:firstLineChars="900"/>
        <w:jc w:val="both"/>
        <w:rPr>
          <w:rFonts w:ascii="宋体" w:hAnsi="宋体"/>
          <w:b/>
          <w:color w:val="000000"/>
          <w:sz w:val="36"/>
          <w:szCs w:val="36"/>
        </w:rPr>
      </w:pPr>
      <w:r>
        <w:rPr>
          <w:rFonts w:hint="eastAsia" w:ascii="新宋体" w:hAnsi="新宋体" w:eastAsia="新宋体" w:cs="新宋体"/>
          <w:b/>
          <w:color w:val="000000"/>
          <w:sz w:val="36"/>
          <w:szCs w:val="36"/>
        </w:rPr>
        <w:t>评比办法(</w:t>
      </w:r>
      <w:r>
        <w:rPr>
          <w:rFonts w:hint="eastAsia" w:ascii="新宋体" w:hAnsi="新宋体" w:eastAsia="新宋体" w:cs="新宋体"/>
          <w:b/>
          <w:color w:val="000000"/>
          <w:sz w:val="36"/>
          <w:szCs w:val="36"/>
          <w:lang w:val="en-US" w:eastAsia="zh-CN"/>
        </w:rPr>
        <w:t>XX类</w:t>
      </w:r>
      <w:r>
        <w:rPr>
          <w:rFonts w:hint="eastAsia" w:ascii="新宋体" w:hAnsi="新宋体" w:eastAsia="新宋体" w:cs="新宋体"/>
          <w:b/>
          <w:color w:val="000000"/>
          <w:sz w:val="36"/>
          <w:szCs w:val="36"/>
        </w:rPr>
        <w:t>)</w:t>
      </w:r>
    </w:p>
    <w:p w14:paraId="43842DD2">
      <w:pPr>
        <w:pStyle w:val="2"/>
        <w:adjustRightInd w:val="0"/>
        <w:spacing w:line="360" w:lineRule="auto"/>
        <w:rPr>
          <w:rFonts w:hAnsi="宋体"/>
          <w:b/>
          <w:color w:val="000000"/>
          <w:szCs w:val="21"/>
        </w:rPr>
      </w:pPr>
    </w:p>
    <w:p w14:paraId="19F5EB28">
      <w:pPr>
        <w:pStyle w:val="2"/>
        <w:adjustRightInd w:val="0"/>
        <w:spacing w:line="400" w:lineRule="auto"/>
        <w:rPr>
          <w:rFonts w:hAnsi="宋体"/>
          <w:b/>
          <w:color w:val="000000"/>
          <w:szCs w:val="21"/>
        </w:rPr>
      </w:pPr>
      <w:r>
        <w:rPr>
          <w:rFonts w:hint="eastAsia" w:ascii="新宋体" w:hAnsi="新宋体" w:eastAsia="新宋体" w:cs="新宋体"/>
          <w:b/>
          <w:color w:val="000000"/>
          <w:szCs w:val="21"/>
        </w:rPr>
        <w:t>1. 评比方法</w:t>
      </w:r>
    </w:p>
    <w:p w14:paraId="5AFF722F">
      <w:pPr>
        <w:pStyle w:val="2"/>
        <w:adjustRightInd w:val="0"/>
        <w:spacing w:line="400" w:lineRule="auto"/>
        <w:ind w:firstLine="424" w:firstLineChars="202"/>
        <w:rPr>
          <w:rFonts w:hAnsi="宋体"/>
          <w:color w:val="C00000"/>
          <w:sz w:val="21"/>
          <w:szCs w:val="21"/>
        </w:rPr>
      </w:pPr>
      <w:r>
        <w:rPr>
          <w:rFonts w:hint="eastAsia" w:ascii="新宋体" w:hAnsi="新宋体" w:eastAsia="新宋体" w:cs="新宋体"/>
          <w:color w:val="000000"/>
          <w:sz w:val="21"/>
          <w:szCs w:val="21"/>
        </w:rPr>
        <w:t>本次资格预审采用合格制（有限数量制）。即在</w:t>
      </w:r>
      <w:r>
        <w:rPr>
          <w:rFonts w:hint="eastAsia" w:ascii="新宋体" w:hAnsi="新宋体" w:eastAsia="新宋体" w:cs="新宋体"/>
          <w:color w:val="000000"/>
          <w:sz w:val="21"/>
          <w:szCs w:val="21"/>
          <w:lang w:val="en-US" w:eastAsia="zh-CN"/>
        </w:rPr>
        <w:t>比选</w:t>
      </w:r>
      <w:r>
        <w:rPr>
          <w:rFonts w:hint="eastAsia" w:ascii="新宋体" w:hAnsi="新宋体" w:eastAsia="新宋体" w:cs="新宋体"/>
          <w:color w:val="000000"/>
          <w:sz w:val="21"/>
          <w:szCs w:val="21"/>
        </w:rPr>
        <w:t>单位完全满足基本条款下对商务部</w:t>
      </w:r>
      <w:r>
        <w:rPr>
          <w:rFonts w:hint="eastAsia" w:ascii="新宋体" w:hAnsi="新宋体" w:eastAsia="新宋体" w:cs="新宋体"/>
          <w:color w:val="auto"/>
          <w:sz w:val="21"/>
          <w:szCs w:val="21"/>
        </w:rPr>
        <w:t>分、技术部分、实地考察部分进行打分，按得分由高到低顺序推荐中标候选人，本次选择3家</w:t>
      </w:r>
      <w:r>
        <w:rPr>
          <w:rFonts w:hint="eastAsia" w:ascii="新宋体" w:hAnsi="新宋体" w:eastAsia="新宋体" w:cs="新宋体"/>
          <w:color w:val="auto"/>
          <w:sz w:val="21"/>
          <w:szCs w:val="21"/>
          <w:lang w:val="en-US" w:eastAsia="zh-CN"/>
        </w:rPr>
        <w:t>比选</w:t>
      </w:r>
      <w:r>
        <w:rPr>
          <w:rFonts w:hint="eastAsia" w:ascii="新宋体" w:hAnsi="新宋体" w:eastAsia="新宋体" w:cs="新宋体"/>
          <w:color w:val="auto"/>
          <w:sz w:val="21"/>
          <w:szCs w:val="21"/>
        </w:rPr>
        <w:t>单位通过资格预审的申请人名单。</w:t>
      </w:r>
      <w:r>
        <w:rPr>
          <w:rFonts w:hint="eastAsia" w:ascii="新宋体" w:hAnsi="新宋体" w:eastAsia="新宋体" w:cs="新宋体"/>
          <w:color w:val="C00000"/>
          <w:sz w:val="21"/>
          <w:szCs w:val="21"/>
        </w:rPr>
        <w:t>通过资格预审申请人的数量不足3个的，招标人重新组织资格预审或重新招标。</w:t>
      </w:r>
      <w:bookmarkStart w:id="3" w:name="_GoBack"/>
      <w:bookmarkEnd w:id="3"/>
    </w:p>
    <w:p w14:paraId="7DBBC6D2">
      <w:pPr>
        <w:pStyle w:val="2"/>
        <w:adjustRightInd w:val="0"/>
        <w:spacing w:line="400" w:lineRule="auto"/>
        <w:rPr>
          <w:rFonts w:hAnsi="宋体"/>
          <w:b/>
          <w:color w:val="auto"/>
          <w:szCs w:val="21"/>
        </w:rPr>
      </w:pPr>
      <w:r>
        <w:rPr>
          <w:rFonts w:hint="eastAsia" w:ascii="新宋体" w:hAnsi="新宋体" w:eastAsia="新宋体" w:cs="新宋体"/>
          <w:b/>
          <w:color w:val="auto"/>
          <w:szCs w:val="21"/>
        </w:rPr>
        <w:t>2. 评审标准</w:t>
      </w:r>
    </w:p>
    <w:p w14:paraId="649D0C8C">
      <w:pPr>
        <w:pStyle w:val="2"/>
        <w:adjustRightInd w:val="0"/>
        <w:spacing w:line="400" w:lineRule="auto"/>
        <w:rPr>
          <w:rFonts w:hAnsi="宋体"/>
          <w:b/>
          <w:color w:val="000000"/>
          <w:szCs w:val="21"/>
        </w:rPr>
      </w:pPr>
      <w:r>
        <w:rPr>
          <w:rFonts w:hint="eastAsia" w:ascii="新宋体" w:hAnsi="新宋体" w:eastAsia="新宋体" w:cs="新宋体"/>
          <w:b/>
          <w:color w:val="000000"/>
          <w:szCs w:val="21"/>
        </w:rPr>
        <w:t xml:space="preserve">基本条款 </w:t>
      </w:r>
    </w:p>
    <w:tbl>
      <w:tblPr>
        <w:tblStyle w:val="3"/>
        <w:tblW w:w="7799"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837"/>
        <w:gridCol w:w="2283"/>
        <w:gridCol w:w="4152"/>
      </w:tblGrid>
      <w:tr w14:paraId="6797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64" w:type="dxa"/>
            <w:gridSpan w:val="2"/>
            <w:noWrap w:val="0"/>
            <w:vAlign w:val="top"/>
          </w:tcPr>
          <w:p w14:paraId="6CBB2A04">
            <w:pPr>
              <w:spacing w:line="400" w:lineRule="exact"/>
              <w:jc w:val="center"/>
              <w:rPr>
                <w:rFonts w:ascii="Calibri" w:hAnsi="Calibri"/>
                <w:b/>
                <w:szCs w:val="21"/>
              </w:rPr>
            </w:pPr>
            <w:r>
              <w:rPr>
                <w:rFonts w:ascii="新宋体" w:hAnsi="新宋体" w:eastAsia="新宋体" w:cs="新宋体"/>
                <w:b/>
                <w:szCs w:val="21"/>
              </w:rPr>
              <w:t>条款号</w:t>
            </w:r>
          </w:p>
        </w:tc>
        <w:tc>
          <w:tcPr>
            <w:tcW w:w="2283" w:type="dxa"/>
            <w:noWrap w:val="0"/>
            <w:vAlign w:val="top"/>
          </w:tcPr>
          <w:p w14:paraId="3E11C1B3">
            <w:pPr>
              <w:spacing w:line="400" w:lineRule="exact"/>
              <w:jc w:val="center"/>
              <w:rPr>
                <w:rFonts w:ascii="Calibri" w:hAnsi="Calibri"/>
                <w:b/>
                <w:szCs w:val="21"/>
              </w:rPr>
            </w:pPr>
            <w:r>
              <w:rPr>
                <w:rFonts w:ascii="新宋体" w:hAnsi="新宋体" w:eastAsia="新宋体" w:cs="新宋体"/>
                <w:b/>
                <w:szCs w:val="21"/>
              </w:rPr>
              <w:t>审查因素</w:t>
            </w:r>
          </w:p>
        </w:tc>
        <w:tc>
          <w:tcPr>
            <w:tcW w:w="4152" w:type="dxa"/>
            <w:noWrap w:val="0"/>
            <w:vAlign w:val="top"/>
          </w:tcPr>
          <w:p w14:paraId="28AA5D2F">
            <w:pPr>
              <w:spacing w:line="400" w:lineRule="exact"/>
              <w:jc w:val="center"/>
              <w:rPr>
                <w:rFonts w:ascii="Calibri" w:hAnsi="Calibri"/>
                <w:b/>
                <w:szCs w:val="21"/>
              </w:rPr>
            </w:pPr>
            <w:r>
              <w:rPr>
                <w:rFonts w:ascii="新宋体" w:hAnsi="新宋体" w:eastAsia="新宋体" w:cs="新宋体"/>
                <w:b/>
                <w:szCs w:val="21"/>
              </w:rPr>
              <w:t>审查标准</w:t>
            </w:r>
          </w:p>
        </w:tc>
      </w:tr>
      <w:tr w14:paraId="1577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restart"/>
            <w:noWrap w:val="0"/>
            <w:vAlign w:val="center"/>
          </w:tcPr>
          <w:p w14:paraId="5A09F866">
            <w:pPr>
              <w:spacing w:line="400" w:lineRule="exact"/>
              <w:jc w:val="center"/>
              <w:rPr>
                <w:rFonts w:ascii="仿宋" w:hAnsi="仿宋" w:eastAsia="仿宋"/>
                <w:sz w:val="24"/>
                <w:szCs w:val="24"/>
              </w:rPr>
            </w:pPr>
          </w:p>
        </w:tc>
        <w:tc>
          <w:tcPr>
            <w:tcW w:w="837" w:type="dxa"/>
            <w:vMerge w:val="restart"/>
            <w:noWrap w:val="0"/>
            <w:vAlign w:val="center"/>
          </w:tcPr>
          <w:p w14:paraId="26E28BAF">
            <w:pPr>
              <w:spacing w:line="400" w:lineRule="exact"/>
              <w:jc w:val="center"/>
              <w:rPr>
                <w:rFonts w:ascii="仿宋" w:hAnsi="仿宋" w:eastAsia="仿宋"/>
                <w:sz w:val="24"/>
                <w:szCs w:val="24"/>
              </w:rPr>
            </w:pPr>
            <w:r>
              <w:rPr>
                <w:rFonts w:ascii="新宋体" w:hAnsi="新宋体" w:eastAsia="新宋体" w:cs="新宋体"/>
                <w:sz w:val="24"/>
                <w:szCs w:val="24"/>
              </w:rPr>
              <w:t>初步</w:t>
            </w:r>
          </w:p>
          <w:p w14:paraId="30E98D50">
            <w:pPr>
              <w:spacing w:line="400" w:lineRule="exact"/>
              <w:jc w:val="center"/>
              <w:rPr>
                <w:rFonts w:ascii="仿宋" w:hAnsi="仿宋" w:eastAsia="仿宋"/>
                <w:sz w:val="24"/>
                <w:szCs w:val="24"/>
              </w:rPr>
            </w:pPr>
            <w:r>
              <w:rPr>
                <w:rFonts w:ascii="新宋体" w:hAnsi="新宋体" w:eastAsia="新宋体" w:cs="新宋体"/>
                <w:sz w:val="24"/>
                <w:szCs w:val="24"/>
              </w:rPr>
              <w:t>审查</w:t>
            </w:r>
          </w:p>
          <w:p w14:paraId="092E28BA">
            <w:pPr>
              <w:spacing w:line="400" w:lineRule="exact"/>
              <w:jc w:val="center"/>
              <w:rPr>
                <w:rFonts w:ascii="仿宋" w:hAnsi="仿宋" w:eastAsia="仿宋"/>
                <w:sz w:val="24"/>
                <w:szCs w:val="24"/>
              </w:rPr>
            </w:pPr>
            <w:r>
              <w:rPr>
                <w:rFonts w:ascii="新宋体" w:hAnsi="新宋体" w:eastAsia="新宋体" w:cs="新宋体"/>
                <w:sz w:val="24"/>
                <w:szCs w:val="24"/>
              </w:rPr>
              <w:t>标准</w:t>
            </w:r>
          </w:p>
        </w:tc>
        <w:tc>
          <w:tcPr>
            <w:tcW w:w="2283" w:type="dxa"/>
            <w:noWrap w:val="0"/>
            <w:vAlign w:val="center"/>
          </w:tcPr>
          <w:p w14:paraId="754767BB">
            <w:pPr>
              <w:spacing w:line="400" w:lineRule="auto"/>
              <w:jc w:val="left"/>
              <w:rPr>
                <w:rFonts w:ascii="仿宋" w:hAnsi="仿宋" w:eastAsia="仿宋"/>
                <w:sz w:val="24"/>
                <w:szCs w:val="24"/>
              </w:rPr>
            </w:pPr>
            <w:r>
              <w:rPr>
                <w:rFonts w:hint="eastAsia" w:ascii="新宋体" w:hAnsi="新宋体" w:eastAsia="新宋体" w:cs="新宋体"/>
                <w:sz w:val="24"/>
                <w:szCs w:val="24"/>
              </w:rPr>
              <w:t>申请人名称</w:t>
            </w:r>
          </w:p>
        </w:tc>
        <w:tc>
          <w:tcPr>
            <w:tcW w:w="4152" w:type="dxa"/>
            <w:noWrap w:val="0"/>
            <w:vAlign w:val="center"/>
          </w:tcPr>
          <w:p w14:paraId="2FA92D25">
            <w:pPr>
              <w:spacing w:line="400" w:lineRule="auto"/>
              <w:jc w:val="center"/>
              <w:rPr>
                <w:rFonts w:ascii="仿宋" w:hAnsi="仿宋" w:eastAsia="仿宋"/>
                <w:sz w:val="24"/>
                <w:szCs w:val="24"/>
              </w:rPr>
            </w:pPr>
            <w:r>
              <w:rPr>
                <w:rFonts w:hint="eastAsia" w:ascii="新宋体" w:hAnsi="新宋体" w:eastAsia="新宋体" w:cs="新宋体"/>
                <w:sz w:val="24"/>
                <w:szCs w:val="24"/>
              </w:rPr>
              <w:t>与营业执照、资质证书一致</w:t>
            </w:r>
          </w:p>
        </w:tc>
      </w:tr>
      <w:tr w14:paraId="613CB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527" w:type="dxa"/>
            <w:vMerge w:val="continue"/>
            <w:noWrap w:val="0"/>
            <w:vAlign w:val="top"/>
          </w:tcPr>
          <w:p w14:paraId="5A20C380">
            <w:pPr>
              <w:spacing w:line="400" w:lineRule="exact"/>
              <w:jc w:val="center"/>
              <w:rPr>
                <w:rFonts w:ascii="仿宋" w:hAnsi="仿宋" w:eastAsia="仿宋"/>
                <w:sz w:val="24"/>
                <w:szCs w:val="24"/>
              </w:rPr>
            </w:pPr>
          </w:p>
        </w:tc>
        <w:tc>
          <w:tcPr>
            <w:tcW w:w="837" w:type="dxa"/>
            <w:vMerge w:val="continue"/>
            <w:noWrap w:val="0"/>
            <w:vAlign w:val="top"/>
          </w:tcPr>
          <w:p w14:paraId="10F2AE64">
            <w:pPr>
              <w:spacing w:line="400" w:lineRule="exact"/>
              <w:jc w:val="center"/>
              <w:rPr>
                <w:rFonts w:ascii="仿宋" w:hAnsi="仿宋" w:eastAsia="仿宋"/>
                <w:sz w:val="24"/>
                <w:szCs w:val="24"/>
              </w:rPr>
            </w:pPr>
          </w:p>
        </w:tc>
        <w:tc>
          <w:tcPr>
            <w:tcW w:w="2283" w:type="dxa"/>
            <w:noWrap w:val="0"/>
            <w:vAlign w:val="center"/>
          </w:tcPr>
          <w:p w14:paraId="2D5CB9E8">
            <w:pPr>
              <w:spacing w:line="400" w:lineRule="auto"/>
              <w:jc w:val="left"/>
              <w:rPr>
                <w:rFonts w:ascii="仿宋" w:hAnsi="仿宋" w:eastAsia="仿宋"/>
                <w:sz w:val="24"/>
                <w:szCs w:val="24"/>
              </w:rPr>
            </w:pPr>
            <w:r>
              <w:rPr>
                <w:rFonts w:hint="eastAsia" w:ascii="新宋体" w:hAnsi="新宋体" w:eastAsia="新宋体" w:cs="新宋体"/>
                <w:sz w:val="24"/>
                <w:szCs w:val="24"/>
              </w:rPr>
              <w:t>申请函签字盖章</w:t>
            </w:r>
          </w:p>
        </w:tc>
        <w:tc>
          <w:tcPr>
            <w:tcW w:w="4152" w:type="dxa"/>
            <w:noWrap w:val="0"/>
            <w:vAlign w:val="center"/>
          </w:tcPr>
          <w:p w14:paraId="5678EA64">
            <w:pPr>
              <w:spacing w:line="400" w:lineRule="auto"/>
              <w:jc w:val="left"/>
              <w:rPr>
                <w:rFonts w:ascii="仿宋" w:hAnsi="仿宋" w:eastAsia="仿宋"/>
                <w:sz w:val="24"/>
                <w:szCs w:val="24"/>
              </w:rPr>
            </w:pPr>
            <w:r>
              <w:rPr>
                <w:rFonts w:hint="eastAsia" w:ascii="新宋体" w:hAnsi="新宋体" w:eastAsia="新宋体" w:cs="新宋体"/>
                <w:sz w:val="24"/>
                <w:szCs w:val="24"/>
              </w:rPr>
              <w:t>有法定代表人或其委托代理人签字或加盖单位章</w:t>
            </w:r>
          </w:p>
        </w:tc>
      </w:tr>
      <w:tr w14:paraId="2221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71DB3645">
            <w:pPr>
              <w:spacing w:line="400" w:lineRule="exact"/>
              <w:jc w:val="center"/>
              <w:rPr>
                <w:rFonts w:ascii="仿宋" w:hAnsi="仿宋" w:eastAsia="仿宋"/>
                <w:sz w:val="24"/>
                <w:szCs w:val="24"/>
              </w:rPr>
            </w:pPr>
          </w:p>
        </w:tc>
        <w:tc>
          <w:tcPr>
            <w:tcW w:w="837" w:type="dxa"/>
            <w:vMerge w:val="continue"/>
            <w:noWrap w:val="0"/>
            <w:vAlign w:val="top"/>
          </w:tcPr>
          <w:p w14:paraId="237A7D6E">
            <w:pPr>
              <w:spacing w:line="400" w:lineRule="exact"/>
              <w:jc w:val="center"/>
              <w:rPr>
                <w:rFonts w:ascii="仿宋" w:hAnsi="仿宋" w:eastAsia="仿宋"/>
                <w:sz w:val="24"/>
                <w:szCs w:val="24"/>
              </w:rPr>
            </w:pPr>
          </w:p>
        </w:tc>
        <w:tc>
          <w:tcPr>
            <w:tcW w:w="2283" w:type="dxa"/>
            <w:noWrap w:val="0"/>
            <w:vAlign w:val="center"/>
          </w:tcPr>
          <w:p w14:paraId="5A20499F">
            <w:pPr>
              <w:spacing w:line="400" w:lineRule="auto"/>
              <w:jc w:val="left"/>
              <w:rPr>
                <w:rFonts w:ascii="仿宋" w:hAnsi="仿宋" w:eastAsia="仿宋"/>
                <w:sz w:val="24"/>
                <w:szCs w:val="24"/>
              </w:rPr>
            </w:pPr>
            <w:r>
              <w:rPr>
                <w:rFonts w:hint="eastAsia" w:ascii="新宋体" w:hAnsi="新宋体" w:eastAsia="新宋体" w:cs="新宋体"/>
                <w:sz w:val="24"/>
                <w:szCs w:val="24"/>
              </w:rPr>
              <w:t>廉洁合同</w:t>
            </w:r>
          </w:p>
        </w:tc>
        <w:tc>
          <w:tcPr>
            <w:tcW w:w="4152" w:type="dxa"/>
            <w:noWrap w:val="0"/>
            <w:vAlign w:val="center"/>
          </w:tcPr>
          <w:p w14:paraId="1824FD7D">
            <w:pPr>
              <w:spacing w:line="400" w:lineRule="auto"/>
              <w:jc w:val="left"/>
              <w:rPr>
                <w:rFonts w:ascii="仿宋" w:hAnsi="仿宋" w:eastAsia="仿宋"/>
                <w:sz w:val="24"/>
                <w:szCs w:val="24"/>
              </w:rPr>
            </w:pPr>
            <w:r>
              <w:rPr>
                <w:rFonts w:hint="eastAsia" w:ascii="新宋体" w:hAnsi="新宋体" w:eastAsia="新宋体" w:cs="新宋体"/>
                <w:sz w:val="24"/>
                <w:szCs w:val="24"/>
              </w:rPr>
              <w:t>是否符合招标文件要求</w:t>
            </w:r>
          </w:p>
        </w:tc>
      </w:tr>
      <w:tr w14:paraId="66CC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346A135F">
            <w:pPr>
              <w:spacing w:line="400" w:lineRule="exact"/>
              <w:jc w:val="center"/>
              <w:rPr>
                <w:rFonts w:ascii="仿宋" w:hAnsi="仿宋" w:eastAsia="仿宋"/>
                <w:sz w:val="24"/>
                <w:szCs w:val="24"/>
              </w:rPr>
            </w:pPr>
          </w:p>
        </w:tc>
        <w:tc>
          <w:tcPr>
            <w:tcW w:w="837" w:type="dxa"/>
            <w:vMerge w:val="continue"/>
            <w:noWrap w:val="0"/>
            <w:vAlign w:val="top"/>
          </w:tcPr>
          <w:p w14:paraId="5E67E80A">
            <w:pPr>
              <w:spacing w:line="400" w:lineRule="exact"/>
              <w:jc w:val="center"/>
              <w:rPr>
                <w:rFonts w:ascii="仿宋" w:hAnsi="仿宋" w:eastAsia="仿宋"/>
                <w:sz w:val="24"/>
                <w:szCs w:val="24"/>
              </w:rPr>
            </w:pPr>
          </w:p>
        </w:tc>
        <w:tc>
          <w:tcPr>
            <w:tcW w:w="2283" w:type="dxa"/>
            <w:noWrap w:val="0"/>
            <w:vAlign w:val="center"/>
          </w:tcPr>
          <w:p w14:paraId="02BE44E3">
            <w:pPr>
              <w:spacing w:line="400" w:lineRule="auto"/>
              <w:jc w:val="left"/>
              <w:rPr>
                <w:rFonts w:ascii="仿宋" w:hAnsi="仿宋" w:eastAsia="仿宋"/>
                <w:sz w:val="24"/>
                <w:szCs w:val="24"/>
              </w:rPr>
            </w:pPr>
            <w:r>
              <w:rPr>
                <w:rFonts w:hint="eastAsia" w:ascii="新宋体" w:hAnsi="新宋体" w:eastAsia="新宋体" w:cs="新宋体"/>
                <w:sz w:val="24"/>
                <w:szCs w:val="24"/>
              </w:rPr>
              <w:t>标书密封性</w:t>
            </w:r>
          </w:p>
        </w:tc>
        <w:tc>
          <w:tcPr>
            <w:tcW w:w="4152" w:type="dxa"/>
            <w:noWrap w:val="0"/>
            <w:vAlign w:val="center"/>
          </w:tcPr>
          <w:p w14:paraId="56E9E571">
            <w:pPr>
              <w:spacing w:line="400" w:lineRule="auto"/>
              <w:jc w:val="left"/>
              <w:rPr>
                <w:rFonts w:ascii="仿宋" w:hAnsi="仿宋" w:eastAsia="仿宋"/>
                <w:sz w:val="24"/>
                <w:szCs w:val="24"/>
              </w:rPr>
            </w:pPr>
            <w:r>
              <w:rPr>
                <w:rFonts w:hint="eastAsia" w:ascii="新宋体" w:hAnsi="新宋体" w:eastAsia="新宋体" w:cs="新宋体"/>
                <w:sz w:val="24"/>
                <w:szCs w:val="24"/>
              </w:rPr>
              <w:t>密封是否良好</w:t>
            </w:r>
          </w:p>
        </w:tc>
      </w:tr>
      <w:tr w14:paraId="4FAC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01BE297E">
            <w:pPr>
              <w:spacing w:line="400" w:lineRule="exact"/>
              <w:jc w:val="center"/>
              <w:rPr>
                <w:rFonts w:ascii="仿宋" w:hAnsi="仿宋" w:eastAsia="仿宋"/>
                <w:sz w:val="24"/>
                <w:szCs w:val="24"/>
              </w:rPr>
            </w:pPr>
          </w:p>
        </w:tc>
        <w:tc>
          <w:tcPr>
            <w:tcW w:w="837" w:type="dxa"/>
            <w:vMerge w:val="continue"/>
            <w:noWrap w:val="0"/>
            <w:vAlign w:val="top"/>
          </w:tcPr>
          <w:p w14:paraId="2362701E">
            <w:pPr>
              <w:spacing w:line="400" w:lineRule="exact"/>
              <w:jc w:val="center"/>
              <w:rPr>
                <w:rFonts w:ascii="仿宋" w:hAnsi="仿宋" w:eastAsia="仿宋"/>
                <w:sz w:val="24"/>
                <w:szCs w:val="24"/>
              </w:rPr>
            </w:pPr>
          </w:p>
        </w:tc>
        <w:tc>
          <w:tcPr>
            <w:tcW w:w="2283" w:type="dxa"/>
            <w:noWrap w:val="0"/>
            <w:vAlign w:val="center"/>
          </w:tcPr>
          <w:p w14:paraId="62B13300">
            <w:pPr>
              <w:spacing w:line="400" w:lineRule="auto"/>
              <w:jc w:val="left"/>
              <w:rPr>
                <w:rFonts w:ascii="仿宋" w:hAnsi="仿宋" w:eastAsia="仿宋"/>
                <w:sz w:val="24"/>
                <w:szCs w:val="24"/>
              </w:rPr>
            </w:pPr>
            <w:r>
              <w:rPr>
                <w:rFonts w:hint="eastAsia" w:ascii="新宋体" w:hAnsi="新宋体" w:eastAsia="新宋体" w:cs="新宋体"/>
                <w:sz w:val="24"/>
                <w:szCs w:val="24"/>
              </w:rPr>
              <w:t>申请文件格式</w:t>
            </w:r>
          </w:p>
        </w:tc>
        <w:tc>
          <w:tcPr>
            <w:tcW w:w="4152" w:type="dxa"/>
            <w:noWrap w:val="0"/>
            <w:vAlign w:val="center"/>
          </w:tcPr>
          <w:p w14:paraId="12CD9E81">
            <w:pPr>
              <w:spacing w:line="400" w:lineRule="auto"/>
              <w:jc w:val="left"/>
              <w:rPr>
                <w:rFonts w:ascii="仿宋" w:hAnsi="仿宋" w:eastAsia="仿宋"/>
                <w:sz w:val="24"/>
                <w:szCs w:val="24"/>
              </w:rPr>
            </w:pPr>
            <w:r>
              <w:rPr>
                <w:rFonts w:hint="eastAsia" w:ascii="新宋体" w:hAnsi="新宋体" w:eastAsia="新宋体" w:cs="新宋体"/>
                <w:sz w:val="24"/>
                <w:szCs w:val="24"/>
              </w:rPr>
              <w:t>是否符合招标文件要求</w:t>
            </w:r>
          </w:p>
        </w:tc>
      </w:tr>
      <w:tr w14:paraId="25B6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restart"/>
            <w:noWrap w:val="0"/>
            <w:vAlign w:val="center"/>
          </w:tcPr>
          <w:p w14:paraId="3DD60BF9">
            <w:pPr>
              <w:spacing w:line="400" w:lineRule="exact"/>
              <w:jc w:val="center"/>
              <w:rPr>
                <w:rFonts w:ascii="仿宋" w:hAnsi="仿宋" w:eastAsia="仿宋"/>
                <w:sz w:val="24"/>
                <w:szCs w:val="24"/>
              </w:rPr>
            </w:pPr>
          </w:p>
        </w:tc>
        <w:tc>
          <w:tcPr>
            <w:tcW w:w="837" w:type="dxa"/>
            <w:vMerge w:val="restart"/>
            <w:noWrap w:val="0"/>
            <w:vAlign w:val="center"/>
          </w:tcPr>
          <w:p w14:paraId="516F8FA2">
            <w:pPr>
              <w:adjustRightInd w:val="0"/>
              <w:snapToGrid w:val="0"/>
              <w:spacing w:line="400" w:lineRule="auto"/>
              <w:jc w:val="center"/>
              <w:rPr>
                <w:rFonts w:ascii="仿宋" w:hAnsi="仿宋" w:eastAsia="仿宋"/>
                <w:sz w:val="24"/>
                <w:szCs w:val="24"/>
              </w:rPr>
            </w:pPr>
            <w:r>
              <w:rPr>
                <w:rFonts w:hint="eastAsia" w:ascii="新宋体" w:hAnsi="新宋体" w:eastAsia="新宋体" w:cs="新宋体"/>
                <w:sz w:val="24"/>
                <w:szCs w:val="24"/>
              </w:rPr>
              <w:t>详细</w:t>
            </w:r>
          </w:p>
          <w:p w14:paraId="07B6C686">
            <w:pPr>
              <w:adjustRightInd w:val="0"/>
              <w:snapToGrid w:val="0"/>
              <w:spacing w:line="400" w:lineRule="auto"/>
              <w:jc w:val="center"/>
              <w:rPr>
                <w:rFonts w:ascii="仿宋" w:hAnsi="仿宋" w:eastAsia="仿宋"/>
                <w:sz w:val="24"/>
                <w:szCs w:val="24"/>
              </w:rPr>
            </w:pPr>
            <w:r>
              <w:rPr>
                <w:rFonts w:hint="eastAsia" w:ascii="新宋体" w:hAnsi="新宋体" w:eastAsia="新宋体" w:cs="新宋体"/>
                <w:sz w:val="24"/>
                <w:szCs w:val="24"/>
              </w:rPr>
              <w:t>审查</w:t>
            </w:r>
          </w:p>
          <w:p w14:paraId="7D872294">
            <w:pPr>
              <w:spacing w:line="400" w:lineRule="auto"/>
              <w:jc w:val="center"/>
              <w:rPr>
                <w:rFonts w:ascii="仿宋" w:hAnsi="仿宋" w:eastAsia="仿宋"/>
                <w:sz w:val="24"/>
                <w:szCs w:val="24"/>
              </w:rPr>
            </w:pPr>
            <w:r>
              <w:rPr>
                <w:rFonts w:hint="eastAsia" w:ascii="新宋体" w:hAnsi="新宋体" w:eastAsia="新宋体" w:cs="新宋体"/>
                <w:sz w:val="24"/>
                <w:szCs w:val="24"/>
              </w:rPr>
              <w:t>标准</w:t>
            </w:r>
          </w:p>
        </w:tc>
        <w:tc>
          <w:tcPr>
            <w:tcW w:w="2283" w:type="dxa"/>
            <w:noWrap w:val="0"/>
            <w:vAlign w:val="center"/>
          </w:tcPr>
          <w:p w14:paraId="1FC35B0B">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营业执照</w:t>
            </w:r>
          </w:p>
        </w:tc>
        <w:tc>
          <w:tcPr>
            <w:tcW w:w="4152" w:type="dxa"/>
            <w:noWrap w:val="0"/>
            <w:vAlign w:val="center"/>
          </w:tcPr>
          <w:p w14:paraId="17253133">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具备有效的营业执照。</w:t>
            </w:r>
          </w:p>
        </w:tc>
      </w:tr>
      <w:tr w14:paraId="33F0D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center"/>
          </w:tcPr>
          <w:p w14:paraId="1A9D2FB7">
            <w:pPr>
              <w:spacing w:line="400" w:lineRule="exact"/>
              <w:jc w:val="center"/>
              <w:rPr>
                <w:rFonts w:ascii="仿宋" w:hAnsi="仿宋" w:eastAsia="仿宋"/>
                <w:sz w:val="24"/>
                <w:szCs w:val="24"/>
              </w:rPr>
            </w:pPr>
          </w:p>
        </w:tc>
        <w:tc>
          <w:tcPr>
            <w:tcW w:w="837" w:type="dxa"/>
            <w:vMerge w:val="continue"/>
            <w:noWrap w:val="0"/>
            <w:vAlign w:val="center"/>
          </w:tcPr>
          <w:p w14:paraId="1E4DEAD6">
            <w:pPr>
              <w:spacing w:line="400" w:lineRule="exact"/>
              <w:jc w:val="center"/>
              <w:rPr>
                <w:rFonts w:ascii="仿宋" w:hAnsi="仿宋" w:eastAsia="仿宋"/>
                <w:sz w:val="24"/>
                <w:szCs w:val="24"/>
              </w:rPr>
            </w:pPr>
          </w:p>
        </w:tc>
        <w:tc>
          <w:tcPr>
            <w:tcW w:w="2283" w:type="dxa"/>
            <w:noWrap w:val="0"/>
            <w:vAlign w:val="center"/>
          </w:tcPr>
          <w:p w14:paraId="439CB576">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同类产品的业绩</w:t>
            </w:r>
          </w:p>
        </w:tc>
        <w:tc>
          <w:tcPr>
            <w:tcW w:w="4152" w:type="dxa"/>
            <w:noWrap w:val="0"/>
            <w:vAlign w:val="center"/>
          </w:tcPr>
          <w:p w14:paraId="3E5E37D8">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r w14:paraId="29952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top"/>
          </w:tcPr>
          <w:p w14:paraId="1E0DE1EF">
            <w:pPr>
              <w:spacing w:line="400" w:lineRule="exact"/>
              <w:jc w:val="center"/>
              <w:rPr>
                <w:rFonts w:ascii="仿宋" w:hAnsi="仿宋" w:eastAsia="仿宋"/>
                <w:sz w:val="24"/>
                <w:szCs w:val="24"/>
              </w:rPr>
            </w:pPr>
          </w:p>
        </w:tc>
        <w:tc>
          <w:tcPr>
            <w:tcW w:w="837" w:type="dxa"/>
            <w:vMerge w:val="continue"/>
            <w:noWrap w:val="0"/>
            <w:vAlign w:val="top"/>
          </w:tcPr>
          <w:p w14:paraId="74B5BF00">
            <w:pPr>
              <w:spacing w:line="400" w:lineRule="exact"/>
              <w:jc w:val="center"/>
              <w:rPr>
                <w:rFonts w:ascii="仿宋" w:hAnsi="仿宋" w:eastAsia="仿宋"/>
                <w:sz w:val="24"/>
                <w:szCs w:val="24"/>
              </w:rPr>
            </w:pPr>
          </w:p>
        </w:tc>
        <w:tc>
          <w:tcPr>
            <w:tcW w:w="2283" w:type="dxa"/>
            <w:noWrap w:val="0"/>
            <w:vAlign w:val="center"/>
          </w:tcPr>
          <w:p w14:paraId="237085AC">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法定代表人</w:t>
            </w:r>
          </w:p>
        </w:tc>
        <w:tc>
          <w:tcPr>
            <w:tcW w:w="4152" w:type="dxa"/>
            <w:noWrap w:val="0"/>
            <w:vAlign w:val="center"/>
          </w:tcPr>
          <w:p w14:paraId="2346AA46">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r w14:paraId="7675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3FF1A9F2">
            <w:pPr>
              <w:spacing w:line="400" w:lineRule="exact"/>
              <w:jc w:val="center"/>
              <w:rPr>
                <w:rFonts w:ascii="仿宋" w:hAnsi="仿宋" w:eastAsia="仿宋"/>
                <w:sz w:val="24"/>
                <w:szCs w:val="24"/>
              </w:rPr>
            </w:pPr>
          </w:p>
        </w:tc>
        <w:tc>
          <w:tcPr>
            <w:tcW w:w="837" w:type="dxa"/>
            <w:vMerge w:val="continue"/>
            <w:noWrap w:val="0"/>
            <w:vAlign w:val="top"/>
          </w:tcPr>
          <w:p w14:paraId="35211558">
            <w:pPr>
              <w:spacing w:line="400" w:lineRule="exact"/>
              <w:jc w:val="center"/>
              <w:rPr>
                <w:rFonts w:ascii="仿宋" w:hAnsi="仿宋" w:eastAsia="仿宋"/>
                <w:sz w:val="24"/>
                <w:szCs w:val="24"/>
              </w:rPr>
            </w:pPr>
          </w:p>
        </w:tc>
        <w:tc>
          <w:tcPr>
            <w:tcW w:w="2283" w:type="dxa"/>
            <w:noWrap w:val="0"/>
            <w:vAlign w:val="center"/>
          </w:tcPr>
          <w:p w14:paraId="0F7F23B4">
            <w:pPr>
              <w:spacing w:line="400" w:lineRule="auto"/>
              <w:jc w:val="left"/>
              <w:rPr>
                <w:rFonts w:ascii="仿宋" w:hAnsi="仿宋" w:eastAsia="仿宋"/>
                <w:sz w:val="24"/>
                <w:szCs w:val="24"/>
                <w:highlight w:val="none"/>
              </w:rPr>
            </w:pPr>
            <w:r>
              <w:rPr>
                <w:rFonts w:hint="eastAsia" w:ascii="新宋体" w:hAnsi="新宋体" w:eastAsia="新宋体" w:cs="新宋体"/>
                <w:sz w:val="24"/>
                <w:szCs w:val="24"/>
              </w:rPr>
              <w:t>企业信息公示</w:t>
            </w:r>
          </w:p>
        </w:tc>
        <w:tc>
          <w:tcPr>
            <w:tcW w:w="4152" w:type="dxa"/>
            <w:noWrap w:val="0"/>
            <w:vAlign w:val="center"/>
          </w:tcPr>
          <w:p w14:paraId="2B9CDC66">
            <w:pPr>
              <w:adjustRightInd w:val="0"/>
              <w:snapToGrid w:val="0"/>
              <w:spacing w:line="400" w:lineRule="auto"/>
              <w:rPr>
                <w:rFonts w:ascii="仿宋" w:hAnsi="仿宋" w:eastAsia="仿宋"/>
                <w:sz w:val="24"/>
                <w:szCs w:val="24"/>
                <w:highlight w:val="none"/>
              </w:rPr>
            </w:pPr>
            <w:r>
              <w:rPr>
                <w:rFonts w:hint="eastAsia" w:ascii="新宋体" w:hAnsi="新宋体" w:eastAsia="新宋体" w:cs="新宋体"/>
                <w:sz w:val="24"/>
                <w:szCs w:val="24"/>
              </w:rPr>
              <w:t>是否存在不良记录（网上查询）</w:t>
            </w:r>
          </w:p>
        </w:tc>
      </w:tr>
      <w:tr w14:paraId="3109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top"/>
          </w:tcPr>
          <w:p w14:paraId="5E1B7F2F">
            <w:pPr>
              <w:spacing w:line="400" w:lineRule="exact"/>
              <w:jc w:val="center"/>
              <w:rPr>
                <w:rFonts w:ascii="仿宋" w:hAnsi="仿宋" w:eastAsia="仿宋"/>
                <w:sz w:val="24"/>
                <w:szCs w:val="24"/>
              </w:rPr>
            </w:pPr>
          </w:p>
        </w:tc>
        <w:tc>
          <w:tcPr>
            <w:tcW w:w="837" w:type="dxa"/>
            <w:vMerge w:val="continue"/>
            <w:noWrap w:val="0"/>
            <w:vAlign w:val="top"/>
          </w:tcPr>
          <w:p w14:paraId="7405ED54">
            <w:pPr>
              <w:spacing w:line="400" w:lineRule="exact"/>
              <w:jc w:val="center"/>
              <w:rPr>
                <w:rFonts w:ascii="仿宋" w:hAnsi="仿宋" w:eastAsia="仿宋"/>
                <w:sz w:val="24"/>
                <w:szCs w:val="24"/>
              </w:rPr>
            </w:pPr>
          </w:p>
        </w:tc>
        <w:tc>
          <w:tcPr>
            <w:tcW w:w="2283" w:type="dxa"/>
            <w:noWrap w:val="0"/>
            <w:vAlign w:val="center"/>
          </w:tcPr>
          <w:p w14:paraId="1616FCFA">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经营范围</w:t>
            </w:r>
          </w:p>
        </w:tc>
        <w:tc>
          <w:tcPr>
            <w:tcW w:w="4152" w:type="dxa"/>
            <w:noWrap w:val="0"/>
            <w:vAlign w:val="center"/>
          </w:tcPr>
          <w:p w14:paraId="310D236E">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bl>
    <w:p w14:paraId="55AF8018">
      <w:pPr>
        <w:pStyle w:val="2"/>
        <w:adjustRightInd w:val="0"/>
        <w:spacing w:line="360" w:lineRule="auto"/>
        <w:rPr>
          <w:rFonts w:hAnsi="宋体"/>
          <w:color w:val="000000"/>
          <w:sz w:val="21"/>
          <w:szCs w:val="21"/>
        </w:rPr>
      </w:pPr>
    </w:p>
    <w:p w14:paraId="3E07D858">
      <w:pPr>
        <w:spacing w:line="400" w:lineRule="auto"/>
        <w:ind w:firstLine="3614" w:firstLineChars="1000"/>
        <w:jc w:val="both"/>
        <w:rPr>
          <w:rFonts w:hint="eastAsia" w:ascii="新宋体" w:hAnsi="新宋体" w:eastAsia="新宋体" w:cs="新宋体"/>
          <w:b/>
          <w:color w:val="auto"/>
          <w:sz w:val="36"/>
          <w:szCs w:val="36"/>
        </w:rPr>
      </w:pPr>
      <w:bookmarkStart w:id="0" w:name="_Toc69919997"/>
      <w:bookmarkStart w:id="1" w:name="_Toc59167069"/>
      <w:bookmarkStart w:id="2" w:name="_Toc382992262"/>
    </w:p>
    <w:p w14:paraId="4E722278">
      <w:pPr>
        <w:spacing w:line="400" w:lineRule="auto"/>
        <w:ind w:firstLine="3614" w:firstLineChars="1000"/>
        <w:jc w:val="both"/>
        <w:rPr>
          <w:rFonts w:hint="eastAsia" w:ascii="新宋体" w:hAnsi="新宋体" w:eastAsia="新宋体" w:cs="新宋体"/>
          <w:b/>
          <w:color w:val="auto"/>
          <w:sz w:val="36"/>
          <w:szCs w:val="36"/>
        </w:rPr>
      </w:pPr>
    </w:p>
    <w:p w14:paraId="7A445B70">
      <w:pPr>
        <w:spacing w:line="400" w:lineRule="auto"/>
        <w:ind w:firstLine="3614" w:firstLineChars="1000"/>
        <w:jc w:val="both"/>
        <w:rPr>
          <w:rFonts w:hint="eastAsia" w:ascii="新宋体" w:hAnsi="新宋体" w:eastAsia="新宋体" w:cs="新宋体"/>
          <w:b/>
          <w:color w:val="auto"/>
          <w:sz w:val="36"/>
          <w:szCs w:val="36"/>
        </w:rPr>
      </w:pPr>
    </w:p>
    <w:p w14:paraId="64225BD1">
      <w:pPr>
        <w:spacing w:line="400" w:lineRule="auto"/>
        <w:ind w:firstLine="3614" w:firstLineChars="1000"/>
        <w:jc w:val="both"/>
        <w:rPr>
          <w:rFonts w:hint="eastAsia" w:ascii="新宋体" w:hAnsi="新宋体" w:eastAsia="新宋体" w:cs="新宋体"/>
          <w:b/>
          <w:color w:val="auto"/>
          <w:sz w:val="36"/>
          <w:szCs w:val="36"/>
        </w:rPr>
      </w:pPr>
    </w:p>
    <w:p w14:paraId="3D08D870">
      <w:pPr>
        <w:spacing w:line="400" w:lineRule="auto"/>
        <w:ind w:firstLine="3614" w:firstLineChars="1000"/>
        <w:jc w:val="both"/>
        <w:rPr>
          <w:rFonts w:ascii="宋体" w:hAnsi="宋体"/>
          <w:b/>
          <w:color w:val="auto"/>
          <w:sz w:val="36"/>
          <w:szCs w:val="36"/>
        </w:rPr>
      </w:pPr>
      <w:r>
        <w:rPr>
          <w:rFonts w:hint="eastAsia" w:ascii="新宋体" w:hAnsi="新宋体" w:eastAsia="新宋体" w:cs="新宋体"/>
          <w:b/>
          <w:color w:val="auto"/>
          <w:sz w:val="36"/>
          <w:szCs w:val="36"/>
        </w:rPr>
        <w:t>评比办法</w:t>
      </w:r>
    </w:p>
    <w:p w14:paraId="38E752CF">
      <w:pPr>
        <w:pStyle w:val="2"/>
        <w:numPr>
          <w:ilvl w:val="0"/>
          <w:numId w:val="0"/>
        </w:numPr>
        <w:adjustRightInd w:val="0"/>
        <w:spacing w:line="400" w:lineRule="auto"/>
        <w:rPr>
          <w:rFonts w:hint="eastAsia" w:ascii="新宋体" w:hAnsi="新宋体" w:eastAsia="新宋体" w:cs="新宋体"/>
          <w:b/>
          <w:color w:val="auto"/>
          <w:szCs w:val="21"/>
        </w:rPr>
      </w:pPr>
      <w:r>
        <w:rPr>
          <w:rFonts w:hint="eastAsia" w:ascii="新宋体" w:hAnsi="新宋体" w:eastAsia="新宋体" w:cs="新宋体"/>
          <w:b/>
          <w:color w:val="auto"/>
          <w:szCs w:val="21"/>
          <w:lang w:val="en-US" w:eastAsia="zh-CN"/>
        </w:rPr>
        <w:t>1.</w:t>
      </w:r>
      <w:r>
        <w:rPr>
          <w:rFonts w:hint="eastAsia" w:ascii="新宋体" w:hAnsi="新宋体" w:eastAsia="新宋体" w:cs="新宋体"/>
          <w:b/>
          <w:color w:val="auto"/>
          <w:szCs w:val="21"/>
        </w:rPr>
        <w:t>评比方法</w:t>
      </w:r>
    </w:p>
    <w:p w14:paraId="34C351E3">
      <w:pPr>
        <w:pStyle w:val="2"/>
        <w:numPr>
          <w:ilvl w:val="0"/>
          <w:numId w:val="0"/>
        </w:numPr>
        <w:adjustRightInd w:val="0"/>
        <w:spacing w:line="400" w:lineRule="auto"/>
        <w:ind w:firstLine="482" w:firstLineChars="200"/>
        <w:rPr>
          <w:rFonts w:hint="eastAsia" w:ascii="新宋体" w:hAnsi="新宋体" w:eastAsia="新宋体" w:cs="新宋体"/>
          <w:b/>
          <w:color w:val="auto"/>
          <w:szCs w:val="21"/>
          <w:lang w:eastAsia="zh-CN"/>
        </w:rPr>
      </w:pPr>
      <w:r>
        <w:rPr>
          <w:rFonts w:hint="eastAsia" w:ascii="新宋体" w:hAnsi="新宋体" w:eastAsia="新宋体" w:cs="新宋体"/>
          <w:b/>
          <w:color w:val="auto"/>
          <w:szCs w:val="21"/>
          <w:lang w:eastAsia="zh-CN"/>
        </w:rPr>
        <w:t>采用综合评分法</w:t>
      </w:r>
    </w:p>
    <w:p w14:paraId="7F76EAAC">
      <w:pPr>
        <w:pStyle w:val="2"/>
        <w:adjustRightInd w:val="0"/>
        <w:spacing w:line="400" w:lineRule="auto"/>
        <w:rPr>
          <w:rFonts w:hAnsi="宋体"/>
          <w:b/>
          <w:color w:val="auto"/>
          <w:szCs w:val="21"/>
        </w:rPr>
      </w:pPr>
      <w:r>
        <w:rPr>
          <w:rFonts w:hint="eastAsia" w:ascii="新宋体" w:hAnsi="新宋体" w:eastAsia="新宋体" w:cs="新宋体"/>
          <w:b/>
          <w:color w:val="auto"/>
          <w:szCs w:val="21"/>
        </w:rPr>
        <w:t>2. 评审标准</w:t>
      </w:r>
    </w:p>
    <w:p w14:paraId="795D4F90">
      <w:pPr>
        <w:pStyle w:val="2"/>
        <w:adjustRightInd w:val="0"/>
        <w:spacing w:line="400" w:lineRule="auto"/>
        <w:rPr>
          <w:rFonts w:hAnsi="宋体"/>
          <w:b/>
          <w:color w:val="auto"/>
          <w:szCs w:val="24"/>
        </w:rPr>
      </w:pPr>
      <w:r>
        <w:rPr>
          <w:rFonts w:hint="eastAsia" w:ascii="新宋体" w:hAnsi="新宋体" w:eastAsia="新宋体" w:cs="新宋体"/>
          <w:b/>
          <w:color w:val="auto"/>
          <w:szCs w:val="24"/>
        </w:rPr>
        <w:t>商务评分部分（</w:t>
      </w:r>
      <w:r>
        <w:rPr>
          <w:rFonts w:hint="eastAsia" w:ascii="新宋体" w:hAnsi="新宋体" w:eastAsia="新宋体" w:cs="新宋体"/>
          <w:b/>
          <w:color w:val="auto"/>
          <w:szCs w:val="24"/>
          <w:lang w:val="en-US" w:eastAsia="zh-CN"/>
        </w:rPr>
        <w:t>48</w:t>
      </w:r>
      <w:r>
        <w:rPr>
          <w:rFonts w:hint="eastAsia" w:ascii="新宋体" w:hAnsi="新宋体" w:eastAsia="新宋体" w:cs="新宋体"/>
          <w:b/>
          <w:color w:val="auto"/>
          <w:szCs w:val="24"/>
        </w:rPr>
        <w:t>分）</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489"/>
        <w:gridCol w:w="1656"/>
        <w:gridCol w:w="3178"/>
        <w:gridCol w:w="1741"/>
      </w:tblGrid>
      <w:tr w14:paraId="2015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5794A6BC">
            <w:pPr>
              <w:spacing w:line="400" w:lineRule="auto"/>
              <w:jc w:val="center"/>
              <w:rPr>
                <w:rFonts w:ascii="宋体" w:hAnsi="宋体"/>
                <w:color w:val="auto"/>
              </w:rPr>
            </w:pPr>
            <w:r>
              <w:rPr>
                <w:rFonts w:hint="eastAsia" w:ascii="新宋体" w:hAnsi="新宋体" w:eastAsia="新宋体" w:cs="新宋体"/>
                <w:color w:val="auto"/>
              </w:rPr>
              <w:t>序号</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146AEA4D">
            <w:pPr>
              <w:spacing w:line="400" w:lineRule="auto"/>
              <w:jc w:val="center"/>
              <w:rPr>
                <w:rFonts w:ascii="宋体" w:hAnsi="宋体"/>
                <w:color w:val="auto"/>
              </w:rPr>
            </w:pPr>
            <w:r>
              <w:rPr>
                <w:rFonts w:hint="eastAsia" w:ascii="新宋体" w:hAnsi="新宋体" w:eastAsia="新宋体" w:cs="新宋体"/>
                <w:color w:val="auto"/>
              </w:rPr>
              <w:t>项目</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2D70AF73">
            <w:pPr>
              <w:spacing w:line="400" w:lineRule="auto"/>
              <w:jc w:val="center"/>
              <w:rPr>
                <w:rFonts w:ascii="宋体" w:hAnsi="宋体"/>
                <w:color w:val="auto"/>
              </w:rPr>
            </w:pPr>
            <w:r>
              <w:rPr>
                <w:rFonts w:hint="eastAsia" w:ascii="新宋体" w:hAnsi="新宋体" w:eastAsia="新宋体" w:cs="新宋体"/>
                <w:color w:val="auto"/>
              </w:rPr>
              <w:t>分值</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0BE9888D">
            <w:pPr>
              <w:spacing w:line="400" w:lineRule="auto"/>
              <w:jc w:val="center"/>
              <w:rPr>
                <w:rFonts w:hint="eastAsia" w:ascii="新宋体" w:hAnsi="新宋体" w:eastAsia="新宋体" w:cs="新宋体"/>
                <w:color w:val="auto"/>
                <w:lang w:eastAsia="zh-CN"/>
              </w:rPr>
            </w:pPr>
            <w:r>
              <w:rPr>
                <w:rFonts w:hint="eastAsia" w:ascii="新宋体" w:hAnsi="新宋体" w:eastAsia="新宋体" w:cs="新宋体"/>
                <w:color w:val="auto"/>
                <w:lang w:eastAsia="zh-CN"/>
              </w:rPr>
              <w:t>评分标准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561F1639">
            <w:pPr>
              <w:spacing w:line="400" w:lineRule="auto"/>
              <w:jc w:val="center"/>
              <w:rPr>
                <w:rFonts w:hint="eastAsia" w:ascii="新宋体" w:hAnsi="新宋体" w:eastAsia="新宋体" w:cs="新宋体"/>
                <w:color w:val="auto"/>
                <w:lang w:eastAsia="zh-CN"/>
              </w:rPr>
            </w:pPr>
            <w:r>
              <w:rPr>
                <w:rFonts w:hint="eastAsia" w:ascii="新宋体" w:hAnsi="新宋体" w:eastAsia="新宋体" w:cs="新宋体"/>
                <w:color w:val="auto"/>
                <w:lang w:eastAsia="zh-CN"/>
              </w:rPr>
              <w:t>备注</w:t>
            </w:r>
          </w:p>
        </w:tc>
      </w:tr>
      <w:tr w14:paraId="287E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63B6B0EB">
            <w:pPr>
              <w:spacing w:line="400" w:lineRule="auto"/>
              <w:jc w:val="center"/>
              <w:rPr>
                <w:rFonts w:ascii="宋体" w:hAnsi="宋体"/>
                <w:color w:val="auto"/>
                <w:szCs w:val="21"/>
              </w:rPr>
            </w:pPr>
            <w:r>
              <w:rPr>
                <w:rFonts w:hint="eastAsia" w:ascii="新宋体" w:hAnsi="新宋体" w:eastAsia="新宋体" w:cs="新宋体"/>
                <w:color w:val="auto"/>
                <w:szCs w:val="21"/>
              </w:rPr>
              <w:t>1</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71D1AFD7">
            <w:pPr>
              <w:spacing w:line="400" w:lineRule="auto"/>
              <w:rPr>
                <w:rFonts w:ascii="宋体" w:hAnsi="宋体"/>
                <w:color w:val="auto"/>
                <w:szCs w:val="21"/>
              </w:rPr>
            </w:pPr>
            <w:r>
              <w:rPr>
                <w:rFonts w:hint="eastAsia" w:ascii="新宋体" w:hAnsi="新宋体" w:eastAsia="新宋体" w:cs="新宋体"/>
                <w:color w:val="auto"/>
                <w:szCs w:val="21"/>
              </w:rPr>
              <w:t>投标资料</w:t>
            </w:r>
            <w:r>
              <w:rPr>
                <w:rFonts w:ascii="新宋体" w:hAnsi="新宋体" w:eastAsia="新宋体" w:cs="新宋体"/>
                <w:color w:val="auto"/>
                <w:szCs w:val="21"/>
              </w:rPr>
              <w:t>完整性及响应</w:t>
            </w:r>
            <w:r>
              <w:rPr>
                <w:rFonts w:hint="eastAsia" w:ascii="新宋体" w:hAnsi="新宋体" w:eastAsia="新宋体" w:cs="新宋体"/>
                <w:color w:val="auto"/>
                <w:szCs w:val="21"/>
              </w:rPr>
              <w:t>性</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40FCC810">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24</w:t>
            </w:r>
            <w:r>
              <w:rPr>
                <w:rFonts w:hint="eastAsia" w:ascii="新宋体" w:hAnsi="新宋体" w:eastAsia="新宋体" w:cs="新宋体"/>
                <w:color w:val="auto"/>
                <w:szCs w:val="21"/>
              </w:rPr>
              <w:t>分</w:t>
            </w:r>
            <w:r>
              <w:rPr>
                <w:rFonts w:ascii="新宋体" w:hAnsi="新宋体" w:eastAsia="新宋体" w:cs="新宋体"/>
                <w:color w:val="auto"/>
                <w:szCs w:val="21"/>
              </w:rPr>
              <w:t xml:space="preserve"> </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668E5FE5">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eastAsia="zh-CN"/>
              </w:rPr>
              <w:t>提供营业执照复印件、法人身份证复印件、开户许可证复印件、投标保证金回单、卫生许可证复印件、食品生产许可证复印件、食品经营许可证复印件、货源来源相关证明、近</w:t>
            </w:r>
            <w:r>
              <w:rPr>
                <w:rFonts w:hint="eastAsia" w:ascii="新宋体" w:hAnsi="新宋体" w:eastAsia="新宋体" w:cs="新宋体"/>
                <w:color w:val="auto"/>
                <w:szCs w:val="21"/>
                <w:lang w:val="en-US" w:eastAsia="zh-CN"/>
              </w:rPr>
              <w:t>3个月公司的销售流水（追溯凭证）清单、廉洁合同、个人征信原件、相关从业人员健康证复印件。</w:t>
            </w:r>
          </w:p>
          <w:p w14:paraId="1B4E4F4D">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(每项2分，满分24分)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4106E209">
            <w:pPr>
              <w:spacing w:line="400" w:lineRule="auto"/>
              <w:jc w:val="both"/>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材料需加盖公章；评标小组到投标人实地考察需进行复核</w:t>
            </w:r>
          </w:p>
        </w:tc>
      </w:tr>
      <w:tr w14:paraId="122B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0BEC8AEE">
            <w:pPr>
              <w:spacing w:line="400" w:lineRule="auto"/>
              <w:jc w:val="center"/>
              <w:rPr>
                <w:rFonts w:hint="eastAsia" w:ascii="宋体" w:hAnsi="宋体" w:eastAsia="宋体"/>
                <w:color w:val="auto"/>
                <w:szCs w:val="21"/>
                <w:lang w:val="en-US" w:eastAsia="zh-CN"/>
              </w:rPr>
            </w:pPr>
            <w:r>
              <w:rPr>
                <w:rFonts w:hint="eastAsia" w:ascii="宋体" w:hAnsi="宋体"/>
                <w:color w:val="auto"/>
                <w:szCs w:val="21"/>
                <w:lang w:val="en-US" w:eastAsia="zh-CN"/>
              </w:rPr>
              <w:t>2</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58E522CB">
            <w:pPr>
              <w:spacing w:line="400" w:lineRule="auto"/>
              <w:rPr>
                <w:rFonts w:hint="eastAsia" w:ascii="仿宋" w:hAnsi="仿宋" w:eastAsia="仿宋"/>
                <w:color w:val="auto"/>
                <w:szCs w:val="21"/>
                <w:lang w:eastAsia="zh-CN"/>
              </w:rPr>
            </w:pPr>
            <w:r>
              <w:rPr>
                <w:rFonts w:hint="eastAsia" w:ascii="新宋体" w:hAnsi="新宋体" w:eastAsia="新宋体" w:cs="新宋体"/>
                <w:color w:val="auto"/>
                <w:szCs w:val="21"/>
                <w:lang w:eastAsia="zh-CN"/>
              </w:rPr>
              <w:t>服务承诺</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2A1A52E5">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2</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3CDB6312">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提供食品质量安全服务承诺</w:t>
            </w:r>
          </w:p>
          <w:p w14:paraId="35510B4B">
            <w:pPr>
              <w:spacing w:line="400" w:lineRule="auto"/>
              <w:jc w:val="center"/>
              <w:rPr>
                <w:rFonts w:hint="eastAsia" w:ascii="新宋体" w:hAnsi="新宋体" w:eastAsia="新宋体" w:cs="新宋体"/>
                <w:color w:val="auto"/>
                <w:szCs w:val="21"/>
                <w:lang w:eastAsia="zh-CN"/>
              </w:rPr>
            </w:pPr>
          </w:p>
        </w:tc>
        <w:tc>
          <w:tcPr>
            <w:tcW w:w="1021" w:type="pct"/>
            <w:tcBorders>
              <w:top w:val="single" w:color="auto" w:sz="4" w:space="0"/>
              <w:left w:val="single" w:color="auto" w:sz="4" w:space="0"/>
              <w:bottom w:val="single" w:color="auto" w:sz="4" w:space="0"/>
              <w:right w:val="single" w:color="auto" w:sz="4" w:space="0"/>
            </w:tcBorders>
            <w:noWrap w:val="0"/>
            <w:vAlign w:val="center"/>
          </w:tcPr>
          <w:p w14:paraId="17822BC6">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w:t>
            </w:r>
          </w:p>
        </w:tc>
      </w:tr>
      <w:tr w14:paraId="6721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4AA9DE2D">
            <w:pPr>
              <w:spacing w:line="400" w:lineRule="auto"/>
              <w:jc w:val="center"/>
              <w:rPr>
                <w:rFonts w:hint="eastAsia" w:ascii="宋体" w:hAnsi="宋体"/>
                <w:color w:val="auto"/>
                <w:szCs w:val="21"/>
                <w:lang w:val="en-US" w:eastAsia="zh-CN"/>
              </w:rPr>
            </w:pPr>
            <w:r>
              <w:rPr>
                <w:rFonts w:hint="eastAsia" w:ascii="宋体" w:hAnsi="宋体"/>
                <w:color w:val="auto"/>
                <w:szCs w:val="21"/>
                <w:lang w:val="en-US" w:eastAsia="zh-CN"/>
              </w:rPr>
              <w:t>3</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04D32B90">
            <w:pPr>
              <w:spacing w:line="400" w:lineRule="auto"/>
              <w:rPr>
                <w:rFonts w:hint="eastAsia" w:ascii="新宋体" w:hAnsi="新宋体" w:eastAsia="新宋体" w:cs="新宋体"/>
                <w:color w:val="auto"/>
                <w:szCs w:val="21"/>
                <w:lang w:eastAsia="zh-CN"/>
              </w:rPr>
            </w:pPr>
            <w:r>
              <w:rPr>
                <w:rFonts w:hint="eastAsia" w:ascii="新宋体" w:hAnsi="新宋体" w:eastAsia="新宋体" w:cs="新宋体"/>
                <w:color w:val="auto"/>
                <w:szCs w:val="21"/>
              </w:rPr>
              <w:t>经营场所</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17CAD063">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szCs w:val="21"/>
                <w:lang w:val="en-US" w:eastAsia="zh-CN"/>
              </w:rPr>
              <w:t>5</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2785BCDF">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提供经营场所的房产证明或租赁协议复印件</w:t>
            </w:r>
          </w:p>
          <w:p w14:paraId="3439481E">
            <w:pPr>
              <w:spacing w:line="400" w:lineRule="auto"/>
              <w:jc w:val="center"/>
              <w:rPr>
                <w:rFonts w:hint="eastAsia" w:ascii="新宋体" w:hAnsi="新宋体" w:eastAsia="新宋体" w:cs="新宋体"/>
                <w:color w:val="auto"/>
                <w:szCs w:val="21"/>
                <w:lang w:eastAsia="zh-CN"/>
              </w:rPr>
            </w:pPr>
          </w:p>
        </w:tc>
        <w:tc>
          <w:tcPr>
            <w:tcW w:w="1021" w:type="pct"/>
            <w:tcBorders>
              <w:top w:val="single" w:color="auto" w:sz="4" w:space="0"/>
              <w:left w:val="single" w:color="auto" w:sz="4" w:space="0"/>
              <w:bottom w:val="single" w:color="auto" w:sz="4" w:space="0"/>
              <w:right w:val="single" w:color="auto" w:sz="4" w:space="0"/>
            </w:tcBorders>
            <w:noWrap w:val="0"/>
            <w:vAlign w:val="center"/>
          </w:tcPr>
          <w:p w14:paraId="708D4883">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材料需加盖公章；评标小组到投标人实地考察需进行复核</w:t>
            </w:r>
          </w:p>
        </w:tc>
      </w:tr>
      <w:tr w14:paraId="54E4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0177A224">
            <w:pPr>
              <w:spacing w:line="400" w:lineRule="auto"/>
              <w:jc w:val="center"/>
              <w:rPr>
                <w:rFonts w:hint="eastAsia" w:ascii="宋体" w:hAnsi="宋体" w:eastAsia="宋体"/>
                <w:color w:val="auto"/>
                <w:szCs w:val="21"/>
                <w:lang w:val="en-US" w:eastAsia="zh-CN"/>
              </w:rPr>
            </w:pPr>
            <w:r>
              <w:rPr>
                <w:rFonts w:hint="eastAsia" w:ascii="新宋体" w:hAnsi="新宋体" w:eastAsia="新宋体" w:cs="新宋体"/>
                <w:color w:val="auto"/>
                <w:szCs w:val="21"/>
                <w:lang w:val="en-US" w:eastAsia="zh-CN"/>
              </w:rPr>
              <w:t>4</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6420AF81">
            <w:pPr>
              <w:spacing w:line="400" w:lineRule="auto"/>
              <w:rPr>
                <w:rFonts w:ascii="仿宋" w:hAnsi="仿宋" w:eastAsia="仿宋"/>
                <w:color w:val="auto"/>
                <w:szCs w:val="21"/>
              </w:rPr>
            </w:pPr>
            <w:r>
              <w:rPr>
                <w:rFonts w:hint="eastAsia" w:ascii="新宋体" w:hAnsi="新宋体" w:eastAsia="新宋体" w:cs="新宋体"/>
                <w:color w:val="auto"/>
                <w:szCs w:val="21"/>
              </w:rPr>
              <w:t>是否</w:t>
            </w:r>
            <w:r>
              <w:rPr>
                <w:rFonts w:hint="eastAsia" w:ascii="新宋体" w:hAnsi="新宋体" w:eastAsia="新宋体" w:cs="新宋体"/>
                <w:color w:val="auto"/>
                <w:szCs w:val="21"/>
                <w:lang w:eastAsia="zh-CN"/>
              </w:rPr>
              <w:t>有其他酒</w:t>
            </w:r>
            <w:r>
              <w:rPr>
                <w:rFonts w:hint="eastAsia" w:ascii="新宋体" w:hAnsi="新宋体" w:eastAsia="新宋体" w:cs="新宋体"/>
                <w:color w:val="auto"/>
                <w:szCs w:val="21"/>
              </w:rPr>
              <w:t>店</w:t>
            </w:r>
            <w:r>
              <w:rPr>
                <w:rFonts w:hint="eastAsia" w:ascii="新宋体" w:hAnsi="新宋体" w:eastAsia="新宋体" w:cs="新宋体"/>
                <w:color w:val="auto"/>
                <w:szCs w:val="21"/>
                <w:lang w:eastAsia="zh-CN"/>
              </w:rPr>
              <w:t>、超市、机关企事业单位的相关食材</w:t>
            </w:r>
            <w:r>
              <w:rPr>
                <w:rFonts w:hint="eastAsia" w:ascii="新宋体" w:hAnsi="新宋体" w:eastAsia="新宋体" w:cs="新宋体"/>
                <w:color w:val="auto"/>
                <w:szCs w:val="21"/>
              </w:rPr>
              <w:t>配送的</w:t>
            </w:r>
            <w:r>
              <w:rPr>
                <w:rFonts w:hint="eastAsia" w:ascii="新宋体" w:hAnsi="新宋体" w:eastAsia="新宋体" w:cs="新宋体"/>
                <w:color w:val="auto"/>
                <w:szCs w:val="21"/>
                <w:lang w:eastAsia="zh-CN"/>
              </w:rPr>
              <w:t>证明</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78F3FEA0">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15</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69AE36C2">
            <w:pPr>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eastAsia="zh-CN"/>
              </w:rPr>
              <w:t>近一年合作过的酒店、超市、机关企事业单位的合同</w:t>
            </w:r>
            <w:r>
              <w:rPr>
                <w:rFonts w:hint="eastAsia" w:ascii="新宋体" w:hAnsi="新宋体" w:eastAsia="新宋体" w:cs="新宋体"/>
                <w:color w:val="auto"/>
                <w:szCs w:val="21"/>
                <w:lang w:val="en-US" w:eastAsia="zh-CN"/>
              </w:rPr>
              <w:t>或者</w:t>
            </w:r>
            <w:r>
              <w:rPr>
                <w:rFonts w:hint="eastAsia" w:ascii="新宋体" w:hAnsi="新宋体" w:eastAsia="新宋体" w:cs="新宋体"/>
                <w:color w:val="auto"/>
                <w:szCs w:val="21"/>
              </w:rPr>
              <w:t>供货证明文件</w:t>
            </w:r>
          </w:p>
          <w:p w14:paraId="0E6DE0DC">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val="en-US" w:eastAsia="zh-CN"/>
              </w:rPr>
              <w:t>（最低2家（含），2家以下0分；满足条件基本分6分，每多一家3分，满分15分）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50BF855A">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材料需加盖公章，证明文件需原件</w:t>
            </w:r>
          </w:p>
        </w:tc>
      </w:tr>
      <w:tr w14:paraId="3B4B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248409E8">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5</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3D73DDBE">
            <w:pPr>
              <w:spacing w:line="400" w:lineRule="auto"/>
              <w:jc w:val="center"/>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账期</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05BB1963">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2分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24538E5E">
            <w:pPr>
              <w:tabs>
                <w:tab w:val="left" w:pos="619"/>
              </w:tabs>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ab/>
            </w:r>
            <w:r>
              <w:rPr>
                <w:rFonts w:hint="eastAsia" w:ascii="新宋体" w:hAnsi="新宋体" w:eastAsia="新宋体" w:cs="新宋体"/>
                <w:color w:val="auto"/>
                <w:szCs w:val="21"/>
                <w:lang w:val="en-US" w:eastAsia="zh-CN"/>
              </w:rPr>
              <w:t>投标人的结账期可承诺在3个月的得2分，2个月的得1分，2个月以内的不得分。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390D0C92">
            <w:pPr>
              <w:spacing w:line="400" w:lineRule="auto"/>
              <w:jc w:val="left"/>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需要提供承诺函加盖公章</w:t>
            </w:r>
          </w:p>
        </w:tc>
      </w:tr>
    </w:tbl>
    <w:p w14:paraId="156EC770">
      <w:pPr>
        <w:pStyle w:val="2"/>
        <w:adjustRightInd w:val="0"/>
        <w:spacing w:line="400" w:lineRule="auto"/>
        <w:rPr>
          <w:rFonts w:hint="eastAsia" w:ascii="新宋体" w:hAnsi="新宋体" w:eastAsia="新宋体" w:cs="新宋体"/>
          <w:b/>
          <w:color w:val="auto"/>
          <w:sz w:val="21"/>
          <w:szCs w:val="21"/>
        </w:rPr>
      </w:pPr>
    </w:p>
    <w:p w14:paraId="7A64AD41">
      <w:pPr>
        <w:pStyle w:val="2"/>
        <w:adjustRightInd w:val="0"/>
        <w:spacing w:line="400" w:lineRule="auto"/>
        <w:rPr>
          <w:rFonts w:hint="eastAsia" w:ascii="新宋体" w:hAnsi="新宋体" w:eastAsia="新宋体" w:cs="新宋体"/>
          <w:b/>
          <w:color w:val="auto"/>
          <w:sz w:val="21"/>
          <w:szCs w:val="21"/>
        </w:rPr>
      </w:pPr>
    </w:p>
    <w:p w14:paraId="2CD8F9BD">
      <w:pPr>
        <w:pStyle w:val="2"/>
        <w:adjustRightInd w:val="0"/>
        <w:spacing w:line="400" w:lineRule="auto"/>
        <w:rPr>
          <w:rFonts w:hint="eastAsia" w:ascii="新宋体" w:hAnsi="新宋体" w:eastAsia="新宋体" w:cs="新宋体"/>
          <w:b/>
          <w:color w:val="auto"/>
          <w:sz w:val="21"/>
          <w:szCs w:val="21"/>
        </w:rPr>
      </w:pPr>
    </w:p>
    <w:p w14:paraId="39DE74B0">
      <w:pPr>
        <w:pStyle w:val="2"/>
        <w:adjustRightInd w:val="0"/>
        <w:spacing w:line="400" w:lineRule="auto"/>
        <w:rPr>
          <w:rFonts w:hAnsi="宋体"/>
          <w:b/>
          <w:color w:val="auto"/>
          <w:sz w:val="21"/>
          <w:szCs w:val="21"/>
        </w:rPr>
      </w:pPr>
      <w:r>
        <w:rPr>
          <w:rFonts w:hint="eastAsia" w:ascii="新宋体" w:hAnsi="新宋体" w:eastAsia="新宋体" w:cs="新宋体"/>
          <w:b/>
          <w:color w:val="auto"/>
          <w:sz w:val="21"/>
          <w:szCs w:val="21"/>
        </w:rPr>
        <w:t>技术评分部分（</w:t>
      </w:r>
      <w:r>
        <w:rPr>
          <w:rFonts w:hint="eastAsia" w:ascii="新宋体" w:hAnsi="新宋体" w:eastAsia="新宋体" w:cs="新宋体"/>
          <w:b/>
          <w:color w:val="auto"/>
          <w:sz w:val="21"/>
          <w:szCs w:val="21"/>
          <w:lang w:val="en-US" w:eastAsia="zh-CN"/>
        </w:rPr>
        <w:t>35</w:t>
      </w:r>
      <w:r>
        <w:rPr>
          <w:rFonts w:hint="eastAsia" w:ascii="新宋体" w:hAnsi="新宋体" w:eastAsia="新宋体" w:cs="新宋体"/>
          <w:b/>
          <w:color w:val="auto"/>
          <w:sz w:val="21"/>
          <w:szCs w:val="21"/>
        </w:rPr>
        <w:t>分）</w:t>
      </w:r>
    </w:p>
    <w:tbl>
      <w:tblPr>
        <w:tblStyle w:val="3"/>
        <w:tblW w:w="4852"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2079"/>
        <w:gridCol w:w="1043"/>
        <w:gridCol w:w="2673"/>
        <w:gridCol w:w="1837"/>
      </w:tblGrid>
      <w:tr w14:paraId="69551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386" w:type="pct"/>
            <w:tcBorders>
              <w:top w:val="single" w:color="auto" w:sz="4" w:space="0"/>
              <w:left w:val="single" w:color="auto" w:sz="4" w:space="0"/>
              <w:bottom w:val="single" w:color="auto" w:sz="4" w:space="0"/>
              <w:right w:val="single" w:color="auto" w:sz="4" w:space="0"/>
            </w:tcBorders>
            <w:noWrap w:val="0"/>
            <w:vAlign w:val="center"/>
          </w:tcPr>
          <w:p w14:paraId="24EA165B">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rPr>
              <w:t>序号</w:t>
            </w:r>
          </w:p>
        </w:tc>
        <w:tc>
          <w:tcPr>
            <w:tcW w:w="1256" w:type="pct"/>
            <w:tcBorders>
              <w:top w:val="single" w:color="auto" w:sz="4" w:space="0"/>
              <w:left w:val="single" w:color="auto" w:sz="4" w:space="0"/>
              <w:bottom w:val="single" w:color="auto" w:sz="4" w:space="0"/>
              <w:right w:val="single" w:color="auto" w:sz="4" w:space="0"/>
            </w:tcBorders>
            <w:noWrap w:val="0"/>
            <w:vAlign w:val="center"/>
          </w:tcPr>
          <w:p w14:paraId="5D950780">
            <w:pPr>
              <w:spacing w:line="400" w:lineRule="auto"/>
              <w:jc w:val="center"/>
              <w:rPr>
                <w:rFonts w:ascii="宋体" w:hAnsi="宋体"/>
                <w:color w:val="auto"/>
                <w:szCs w:val="21"/>
              </w:rPr>
            </w:pPr>
            <w:r>
              <w:rPr>
                <w:rFonts w:hint="eastAsia" w:ascii="新宋体" w:hAnsi="新宋体" w:eastAsia="新宋体" w:cs="新宋体"/>
                <w:color w:val="auto"/>
                <w:szCs w:val="21"/>
              </w:rPr>
              <w:t>项目</w:t>
            </w:r>
          </w:p>
        </w:tc>
        <w:tc>
          <w:tcPr>
            <w:tcW w:w="630" w:type="pct"/>
            <w:tcBorders>
              <w:top w:val="single" w:color="auto" w:sz="4" w:space="0"/>
              <w:left w:val="single" w:color="auto" w:sz="4" w:space="0"/>
              <w:bottom w:val="single" w:color="auto" w:sz="4" w:space="0"/>
              <w:right w:val="single" w:color="auto" w:sz="4" w:space="0"/>
            </w:tcBorders>
            <w:noWrap w:val="0"/>
            <w:vAlign w:val="center"/>
          </w:tcPr>
          <w:p w14:paraId="0DD64CD0">
            <w:pPr>
              <w:spacing w:line="400" w:lineRule="auto"/>
              <w:jc w:val="center"/>
              <w:rPr>
                <w:rFonts w:ascii="宋体" w:hAnsi="宋体"/>
                <w:color w:val="auto"/>
                <w:szCs w:val="21"/>
              </w:rPr>
            </w:pPr>
            <w:r>
              <w:rPr>
                <w:rFonts w:hint="eastAsia" w:ascii="新宋体" w:hAnsi="新宋体" w:eastAsia="新宋体" w:cs="新宋体"/>
                <w:color w:val="auto"/>
                <w:szCs w:val="21"/>
              </w:rPr>
              <w:t>分值</w:t>
            </w:r>
          </w:p>
        </w:tc>
        <w:tc>
          <w:tcPr>
            <w:tcW w:w="2673" w:type="dxa"/>
            <w:tcBorders>
              <w:top w:val="single" w:color="auto" w:sz="4" w:space="0"/>
              <w:left w:val="single" w:color="auto" w:sz="4" w:space="0"/>
              <w:bottom w:val="single" w:color="auto" w:sz="4" w:space="0"/>
              <w:right w:val="single" w:color="auto" w:sz="4" w:space="0"/>
            </w:tcBorders>
            <w:noWrap w:val="0"/>
            <w:vAlign w:val="center"/>
          </w:tcPr>
          <w:p w14:paraId="6CD591C9">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lang w:eastAsia="zh-CN"/>
              </w:rPr>
              <w:t>评分标准</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6FEBBA31">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lang w:eastAsia="zh-CN"/>
              </w:rPr>
              <w:t>备注</w:t>
            </w:r>
          </w:p>
        </w:tc>
      </w:tr>
      <w:tr w14:paraId="2CD2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386" w:type="pct"/>
            <w:tcBorders>
              <w:top w:val="single" w:color="auto" w:sz="4" w:space="0"/>
              <w:left w:val="single" w:color="auto" w:sz="4" w:space="0"/>
              <w:bottom w:val="single" w:color="auto" w:sz="4" w:space="0"/>
              <w:right w:val="single" w:color="auto" w:sz="4" w:space="0"/>
            </w:tcBorders>
            <w:noWrap w:val="0"/>
            <w:vAlign w:val="center"/>
          </w:tcPr>
          <w:p w14:paraId="5AC69CBB">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rPr>
              <w:t>1</w:t>
            </w:r>
          </w:p>
        </w:tc>
        <w:tc>
          <w:tcPr>
            <w:tcW w:w="1256" w:type="pct"/>
            <w:tcBorders>
              <w:top w:val="single" w:color="auto" w:sz="4" w:space="0"/>
              <w:left w:val="single" w:color="auto" w:sz="4" w:space="0"/>
              <w:bottom w:val="single" w:color="auto" w:sz="4" w:space="0"/>
              <w:right w:val="single" w:color="auto" w:sz="4" w:space="0"/>
            </w:tcBorders>
            <w:noWrap w:val="0"/>
            <w:vAlign w:val="center"/>
          </w:tcPr>
          <w:p w14:paraId="2FE37D44">
            <w:pPr>
              <w:spacing w:line="400" w:lineRule="auto"/>
              <w:rPr>
                <w:rFonts w:hint="eastAsia" w:ascii="宋体" w:hAnsi="宋体" w:eastAsia="宋体"/>
                <w:color w:val="auto"/>
                <w:szCs w:val="21"/>
                <w:lang w:val="en-US" w:eastAsia="zh-CN"/>
              </w:rPr>
            </w:pPr>
            <w:r>
              <w:rPr>
                <w:rFonts w:hint="eastAsia" w:ascii="宋体" w:hAnsi="宋体"/>
                <w:color w:val="auto"/>
                <w:szCs w:val="21"/>
                <w:lang w:val="en-US" w:eastAsia="zh-CN"/>
              </w:rPr>
              <w:t>食材价格</w:t>
            </w:r>
          </w:p>
        </w:tc>
        <w:tc>
          <w:tcPr>
            <w:tcW w:w="630" w:type="pct"/>
            <w:tcBorders>
              <w:top w:val="single" w:color="auto" w:sz="4" w:space="0"/>
              <w:left w:val="single" w:color="auto" w:sz="4" w:space="0"/>
              <w:bottom w:val="single" w:color="auto" w:sz="4" w:space="0"/>
              <w:right w:val="single" w:color="auto" w:sz="4" w:space="0"/>
            </w:tcBorders>
            <w:noWrap w:val="0"/>
            <w:vAlign w:val="center"/>
          </w:tcPr>
          <w:p w14:paraId="266963A4">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35</w:t>
            </w:r>
            <w:r>
              <w:rPr>
                <w:rFonts w:hint="eastAsia" w:ascii="新宋体" w:hAnsi="新宋体" w:eastAsia="新宋体" w:cs="新宋体"/>
                <w:color w:val="auto"/>
                <w:szCs w:val="21"/>
              </w:rPr>
              <w:t>分</w:t>
            </w:r>
            <w:r>
              <w:rPr>
                <w:rFonts w:ascii="新宋体" w:hAnsi="新宋体" w:eastAsia="新宋体" w:cs="新宋体"/>
                <w:color w:val="auto"/>
                <w:szCs w:val="21"/>
              </w:rPr>
              <w:t xml:space="preserve"> </w:t>
            </w:r>
          </w:p>
        </w:tc>
        <w:tc>
          <w:tcPr>
            <w:tcW w:w="1615" w:type="pct"/>
            <w:tcBorders>
              <w:top w:val="single" w:color="auto" w:sz="4" w:space="0"/>
              <w:left w:val="single" w:color="auto" w:sz="4" w:space="0"/>
              <w:bottom w:val="single" w:color="auto" w:sz="4" w:space="0"/>
              <w:right w:val="single" w:color="auto" w:sz="4" w:space="0"/>
            </w:tcBorders>
            <w:noWrap w:val="0"/>
            <w:vAlign w:val="center"/>
          </w:tcPr>
          <w:p w14:paraId="477A2B2D">
            <w:pPr>
              <w:spacing w:line="400" w:lineRule="auto"/>
              <w:jc w:val="left"/>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食材价格评分：分常用类食材价格和普通类食材价格.常用类食材报价最低者，得分满分35分，次低者30分，</w:t>
            </w:r>
          </w:p>
          <w:p w14:paraId="144A0D93">
            <w:pPr>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依次类推，得分比例为35分-30分-25分-15分-10分-5分-0分，普通类食材报价最低者，得分满分10分,次低者8分，依次类推，</w:t>
            </w:r>
          </w:p>
          <w:p w14:paraId="7419D36E">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val="en-US" w:eastAsia="zh-CN"/>
              </w:rPr>
              <w:t>得分比例为10分-8分-6分-4分-2分-0分，</w:t>
            </w:r>
          </w:p>
          <w:p w14:paraId="7EF70743">
            <w:pPr>
              <w:spacing w:line="400" w:lineRule="auto"/>
              <w:jc w:val="center"/>
              <w:rPr>
                <w:rFonts w:hint="eastAsia" w:ascii="新宋体" w:hAnsi="新宋体" w:eastAsia="新宋体" w:cs="新宋体"/>
                <w:color w:val="auto"/>
                <w:szCs w:val="21"/>
                <w:lang w:eastAsia="zh-CN"/>
              </w:rPr>
            </w:pPr>
          </w:p>
        </w:tc>
        <w:tc>
          <w:tcPr>
            <w:tcW w:w="1110" w:type="pct"/>
            <w:tcBorders>
              <w:top w:val="single" w:color="auto" w:sz="4" w:space="0"/>
              <w:left w:val="single" w:color="auto" w:sz="4" w:space="0"/>
              <w:bottom w:val="single" w:color="auto" w:sz="4" w:space="0"/>
              <w:right w:val="single" w:color="auto" w:sz="4" w:space="0"/>
            </w:tcBorders>
            <w:noWrap w:val="0"/>
            <w:vAlign w:val="center"/>
          </w:tcPr>
          <w:p w14:paraId="577E5D6B">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w:t>
            </w:r>
            <w:r>
              <w:rPr>
                <w:rFonts w:hint="eastAsia" w:ascii="新宋体" w:hAnsi="新宋体" w:eastAsia="新宋体" w:cs="新宋体"/>
                <w:color w:val="auto"/>
                <w:szCs w:val="21"/>
                <w:lang w:val="en-US" w:eastAsia="zh-CN"/>
              </w:rPr>
              <w:t>常用类食材以及普通类食材规格表由我司统一提供，</w:t>
            </w:r>
            <w:r>
              <w:rPr>
                <w:rFonts w:hint="eastAsia" w:ascii="新宋体" w:hAnsi="新宋体" w:eastAsia="新宋体" w:cs="新宋体"/>
                <w:color w:val="auto"/>
                <w:szCs w:val="21"/>
                <w:lang w:eastAsia="zh-CN"/>
              </w:rPr>
              <w:t>报价时不能改动</w:t>
            </w:r>
            <w:r>
              <w:rPr>
                <w:rFonts w:hint="eastAsia" w:ascii="新宋体" w:hAnsi="新宋体" w:eastAsia="新宋体" w:cs="新宋体"/>
                <w:color w:val="auto"/>
                <w:szCs w:val="21"/>
                <w:lang w:val="en-US" w:eastAsia="zh-CN"/>
              </w:rPr>
              <w:t>食材品名和规格</w:t>
            </w:r>
            <w:r>
              <w:rPr>
                <w:rFonts w:hint="eastAsia" w:ascii="新宋体" w:hAnsi="新宋体" w:eastAsia="新宋体" w:cs="新宋体"/>
                <w:color w:val="auto"/>
                <w:szCs w:val="21"/>
                <w:lang w:eastAsia="zh-CN"/>
              </w:rPr>
              <w:t>，投标人</w:t>
            </w:r>
            <w:r>
              <w:rPr>
                <w:rFonts w:hint="eastAsia" w:ascii="新宋体" w:hAnsi="新宋体" w:eastAsia="新宋体" w:cs="新宋体"/>
                <w:color w:val="auto"/>
                <w:szCs w:val="21"/>
                <w:lang w:val="en-US" w:eastAsia="zh-CN"/>
              </w:rPr>
              <w:t>请如实</w:t>
            </w:r>
            <w:r>
              <w:rPr>
                <w:rFonts w:hint="eastAsia" w:ascii="新宋体" w:hAnsi="新宋体" w:eastAsia="新宋体" w:cs="新宋体"/>
                <w:color w:val="auto"/>
                <w:szCs w:val="21"/>
                <w:lang w:eastAsia="zh-CN"/>
              </w:rPr>
              <w:t>填写。评标小组到投标人实地考察需进行复核。</w:t>
            </w:r>
          </w:p>
        </w:tc>
      </w:tr>
    </w:tbl>
    <w:p w14:paraId="6D227F65">
      <w:pPr>
        <w:pStyle w:val="2"/>
        <w:adjustRightInd w:val="0"/>
        <w:spacing w:line="400" w:lineRule="auto"/>
        <w:rPr>
          <w:rFonts w:hint="eastAsia" w:ascii="新宋体" w:hAnsi="新宋体" w:eastAsia="新宋体" w:cs="新宋体"/>
          <w:b/>
          <w:bCs/>
          <w:color w:val="auto"/>
          <w:sz w:val="21"/>
          <w:szCs w:val="21"/>
        </w:rPr>
      </w:pPr>
    </w:p>
    <w:p w14:paraId="10ED0401">
      <w:pPr>
        <w:pStyle w:val="2"/>
        <w:adjustRightInd w:val="0"/>
        <w:spacing w:line="400" w:lineRule="auto"/>
        <w:rPr>
          <w:rFonts w:hint="eastAsia" w:ascii="新宋体" w:hAnsi="新宋体" w:eastAsia="新宋体" w:cs="新宋体"/>
          <w:b/>
          <w:bCs/>
          <w:color w:val="auto"/>
          <w:sz w:val="21"/>
          <w:szCs w:val="21"/>
        </w:rPr>
      </w:pPr>
    </w:p>
    <w:p w14:paraId="5FA179C3">
      <w:pPr>
        <w:pStyle w:val="2"/>
        <w:adjustRightInd w:val="0"/>
        <w:spacing w:line="400" w:lineRule="auto"/>
        <w:rPr>
          <w:rFonts w:hint="eastAsia" w:ascii="新宋体" w:hAnsi="新宋体" w:eastAsia="新宋体" w:cs="新宋体"/>
          <w:b/>
          <w:bCs/>
          <w:color w:val="auto"/>
          <w:sz w:val="21"/>
          <w:szCs w:val="21"/>
        </w:rPr>
      </w:pPr>
    </w:p>
    <w:p w14:paraId="7FB3EBD1">
      <w:pPr>
        <w:pStyle w:val="2"/>
        <w:adjustRightInd w:val="0"/>
        <w:spacing w:line="400" w:lineRule="auto"/>
        <w:rPr>
          <w:rFonts w:hint="eastAsia" w:ascii="新宋体" w:hAnsi="新宋体" w:eastAsia="新宋体" w:cs="新宋体"/>
          <w:b/>
          <w:bCs/>
          <w:color w:val="auto"/>
          <w:sz w:val="21"/>
          <w:szCs w:val="21"/>
        </w:rPr>
      </w:pPr>
    </w:p>
    <w:p w14:paraId="7DBC9C26">
      <w:pPr>
        <w:pStyle w:val="2"/>
        <w:adjustRightInd w:val="0"/>
        <w:spacing w:line="400" w:lineRule="auto"/>
        <w:rPr>
          <w:rFonts w:hint="eastAsia" w:hAnsi="宋体" w:eastAsia="新宋体"/>
          <w:b/>
          <w:color w:val="auto"/>
          <w:sz w:val="21"/>
          <w:szCs w:val="21"/>
        </w:rPr>
      </w:pPr>
      <w:r>
        <w:rPr>
          <w:rFonts w:hint="eastAsia" w:ascii="新宋体" w:hAnsi="新宋体" w:eastAsia="新宋体" w:cs="新宋体"/>
          <w:b/>
          <w:bCs/>
          <w:color w:val="auto"/>
          <w:sz w:val="21"/>
          <w:szCs w:val="21"/>
        </w:rPr>
        <w:t>实地考察部分</w:t>
      </w:r>
      <w:r>
        <w:rPr>
          <w:rFonts w:hint="eastAsia" w:ascii="新宋体" w:hAnsi="新宋体" w:eastAsia="新宋体" w:cs="新宋体"/>
          <w:b/>
          <w:color w:val="auto"/>
          <w:sz w:val="21"/>
          <w:szCs w:val="21"/>
        </w:rPr>
        <w:t>（</w:t>
      </w:r>
      <w:r>
        <w:rPr>
          <w:rFonts w:hint="eastAsia" w:ascii="新宋体" w:hAnsi="新宋体" w:eastAsia="新宋体" w:cs="新宋体"/>
          <w:b/>
          <w:color w:val="auto"/>
          <w:sz w:val="21"/>
          <w:szCs w:val="21"/>
          <w:lang w:val="en-US" w:eastAsia="zh-CN"/>
        </w:rPr>
        <w:t>10</w:t>
      </w:r>
      <w:r>
        <w:rPr>
          <w:rFonts w:hint="eastAsia" w:ascii="新宋体" w:hAnsi="新宋体" w:eastAsia="新宋体" w:cs="新宋体"/>
          <w:b/>
          <w:color w:val="auto"/>
          <w:sz w:val="21"/>
          <w:szCs w:val="21"/>
        </w:rPr>
        <w:t>分）</w:t>
      </w:r>
    </w:p>
    <w:tbl>
      <w:tblPr>
        <w:tblStyle w:val="3"/>
        <w:tblW w:w="4849"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1341"/>
        <w:gridCol w:w="761"/>
        <w:gridCol w:w="3841"/>
        <w:gridCol w:w="1839"/>
      </w:tblGrid>
      <w:tr w14:paraId="14C7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12A801FD">
            <w:pPr>
              <w:spacing w:line="400" w:lineRule="auto"/>
              <w:jc w:val="center"/>
              <w:rPr>
                <w:rFonts w:ascii="宋体" w:hAnsi="宋体"/>
                <w:color w:val="auto"/>
              </w:rPr>
            </w:pPr>
            <w:r>
              <w:rPr>
                <w:rFonts w:hint="eastAsia" w:ascii="新宋体" w:hAnsi="新宋体" w:eastAsia="新宋体" w:cs="新宋体"/>
                <w:color w:val="auto"/>
              </w:rPr>
              <w:t>序号</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5BEDD4BF">
            <w:pPr>
              <w:spacing w:line="400" w:lineRule="auto"/>
              <w:jc w:val="center"/>
              <w:rPr>
                <w:rFonts w:ascii="宋体" w:hAnsi="宋体"/>
                <w:color w:val="auto"/>
              </w:rPr>
            </w:pPr>
            <w:r>
              <w:rPr>
                <w:rFonts w:hint="eastAsia" w:ascii="新宋体" w:hAnsi="新宋体" w:eastAsia="新宋体" w:cs="新宋体"/>
                <w:color w:val="auto"/>
              </w:rPr>
              <w:t>项目</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67C1334A">
            <w:pPr>
              <w:spacing w:line="400" w:lineRule="auto"/>
              <w:jc w:val="center"/>
              <w:rPr>
                <w:rFonts w:ascii="宋体" w:hAnsi="宋体"/>
                <w:color w:val="auto"/>
              </w:rPr>
            </w:pPr>
            <w:r>
              <w:rPr>
                <w:rFonts w:hint="eastAsia" w:ascii="新宋体" w:hAnsi="新宋体" w:eastAsia="新宋体" w:cs="新宋体"/>
                <w:color w:val="auto"/>
              </w:rPr>
              <w:t>分值</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6FDD8EC0">
            <w:pPr>
              <w:spacing w:line="400" w:lineRule="auto"/>
              <w:jc w:val="center"/>
              <w:rPr>
                <w:rFonts w:hint="eastAsia" w:ascii="新宋体" w:hAnsi="新宋体" w:eastAsia="新宋体" w:cs="新宋体"/>
                <w:color w:val="auto"/>
                <w:kern w:val="2"/>
                <w:sz w:val="21"/>
                <w:szCs w:val="21"/>
                <w:lang w:val="en-US" w:eastAsia="zh-CN" w:bidi="ar-SA"/>
              </w:rPr>
            </w:pPr>
            <w:r>
              <w:rPr>
                <w:rFonts w:hint="eastAsia" w:ascii="新宋体" w:hAnsi="新宋体" w:eastAsia="新宋体" w:cs="新宋体"/>
                <w:color w:val="auto"/>
                <w:lang w:eastAsia="zh-CN"/>
              </w:rPr>
              <w:t>评分标准</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5BF5E2FF">
            <w:pPr>
              <w:spacing w:line="400" w:lineRule="auto"/>
              <w:jc w:val="center"/>
              <w:rPr>
                <w:rFonts w:ascii="新宋体" w:hAnsi="新宋体" w:eastAsia="新宋体" w:cs="新宋体"/>
                <w:color w:val="auto"/>
                <w:kern w:val="2"/>
                <w:sz w:val="21"/>
                <w:szCs w:val="21"/>
                <w:lang w:val="en-US" w:eastAsia="zh-CN" w:bidi="ar-SA"/>
              </w:rPr>
            </w:pPr>
            <w:r>
              <w:rPr>
                <w:rFonts w:hint="eastAsia" w:ascii="新宋体" w:hAnsi="新宋体" w:eastAsia="新宋体" w:cs="新宋体"/>
                <w:color w:val="auto"/>
                <w:lang w:eastAsia="zh-CN"/>
              </w:rPr>
              <w:t>备注</w:t>
            </w:r>
          </w:p>
        </w:tc>
      </w:tr>
      <w:tr w14:paraId="5E294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367FA916">
            <w:pPr>
              <w:spacing w:line="400" w:lineRule="auto"/>
              <w:jc w:val="center"/>
              <w:rPr>
                <w:rFonts w:ascii="宋体" w:hAnsi="宋体"/>
                <w:color w:val="auto"/>
                <w:szCs w:val="21"/>
              </w:rPr>
            </w:pPr>
            <w:r>
              <w:rPr>
                <w:rFonts w:hint="eastAsia" w:ascii="新宋体" w:hAnsi="新宋体" w:eastAsia="新宋体" w:cs="新宋体"/>
                <w:color w:val="auto"/>
                <w:szCs w:val="21"/>
              </w:rPr>
              <w:t>1</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6E0CA974">
            <w:pPr>
              <w:spacing w:line="400" w:lineRule="auto"/>
              <w:rPr>
                <w:rFonts w:hint="eastAsia" w:ascii="宋体" w:hAnsi="宋体" w:eastAsia="宋体"/>
                <w:color w:val="auto"/>
                <w:szCs w:val="21"/>
                <w:lang w:eastAsia="zh-CN"/>
              </w:rPr>
            </w:pPr>
            <w:r>
              <w:rPr>
                <w:rFonts w:hint="eastAsia" w:ascii="宋体" w:hAnsi="宋体"/>
                <w:color w:val="auto"/>
                <w:szCs w:val="21"/>
                <w:lang w:eastAsia="zh-CN"/>
              </w:rPr>
              <w:t>环境考评</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7F63CF24">
            <w:pPr>
              <w:spacing w:line="400" w:lineRule="auto"/>
              <w:jc w:val="center"/>
              <w:rPr>
                <w:rFonts w:hint="eastAsia" w:ascii="仿宋" w:hAnsi="仿宋" w:eastAsia="仿宋"/>
                <w:color w:val="auto"/>
                <w:szCs w:val="21"/>
                <w:lang w:eastAsia="zh-CN"/>
              </w:rPr>
            </w:pPr>
            <w:r>
              <w:rPr>
                <w:rFonts w:hint="eastAsia" w:ascii="新宋体" w:hAnsi="新宋体" w:eastAsia="新宋体" w:cs="新宋体"/>
                <w:color w:val="auto"/>
                <w:szCs w:val="21"/>
                <w:lang w:val="en-US" w:eastAsia="zh-CN"/>
              </w:rPr>
              <w:t>9分</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364AB4D8">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经营场所内部、周边环境（有无污染），环境程度情况评分</w:t>
            </w:r>
          </w:p>
          <w:p w14:paraId="7D4AD45E">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（优：</w:t>
            </w:r>
            <w:r>
              <w:rPr>
                <w:rFonts w:hint="eastAsia" w:ascii="新宋体" w:hAnsi="新宋体" w:eastAsia="新宋体" w:cs="新宋体"/>
                <w:color w:val="auto"/>
                <w:szCs w:val="21"/>
                <w:lang w:val="en-US" w:eastAsia="zh-CN"/>
              </w:rPr>
              <w:t>9分，良7分，及格4分，差0分</w:t>
            </w:r>
            <w:r>
              <w:rPr>
                <w:rFonts w:hint="eastAsia" w:ascii="新宋体" w:hAnsi="新宋体" w:eastAsia="新宋体" w:cs="新宋体"/>
                <w:color w:val="auto"/>
                <w:szCs w:val="21"/>
                <w:lang w:eastAsia="zh-CN"/>
              </w:rPr>
              <w:t>）</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4E9703A6">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lang w:eastAsia="zh-CN"/>
              </w:rPr>
              <w:t>评标小组到投标人现场实地考察评分</w:t>
            </w:r>
          </w:p>
        </w:tc>
      </w:tr>
      <w:tr w14:paraId="665C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7DFEC7DF">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rPr>
              <w:t>2</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389040B7">
            <w:pPr>
              <w:spacing w:line="400" w:lineRule="auto"/>
              <w:rPr>
                <w:rFonts w:hint="eastAsia" w:ascii="宋体" w:hAnsi="宋体" w:eastAsia="宋体"/>
                <w:color w:val="auto"/>
                <w:szCs w:val="21"/>
                <w:lang w:eastAsia="zh-CN"/>
              </w:rPr>
            </w:pPr>
            <w:r>
              <w:rPr>
                <w:rFonts w:hint="eastAsia" w:ascii="宋体" w:hAnsi="宋体"/>
                <w:color w:val="auto"/>
                <w:szCs w:val="21"/>
                <w:lang w:eastAsia="zh-CN"/>
              </w:rPr>
              <w:t>货物储存</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21FE9184">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lang w:val="en-US" w:eastAsia="zh-CN"/>
              </w:rPr>
              <w:t>8</w:t>
            </w:r>
            <w:r>
              <w:rPr>
                <w:rFonts w:hint="eastAsia" w:ascii="新宋体" w:hAnsi="新宋体" w:eastAsia="新宋体" w:cs="新宋体"/>
                <w:color w:val="auto"/>
                <w:szCs w:val="21"/>
              </w:rPr>
              <w:t>分</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4FF817DB">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货物储存是否分类，是否有序。</w:t>
            </w:r>
          </w:p>
          <w:p w14:paraId="36CD6CC0">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（优：</w:t>
            </w:r>
            <w:r>
              <w:rPr>
                <w:rFonts w:hint="eastAsia" w:ascii="新宋体" w:hAnsi="新宋体" w:eastAsia="新宋体" w:cs="新宋体"/>
                <w:color w:val="auto"/>
                <w:szCs w:val="21"/>
                <w:lang w:val="en-US" w:eastAsia="zh-CN"/>
              </w:rPr>
              <w:t>8分，良,5分，及格2分，差0分</w:t>
            </w:r>
            <w:r>
              <w:rPr>
                <w:rFonts w:hint="eastAsia" w:ascii="新宋体" w:hAnsi="新宋体" w:eastAsia="新宋体" w:cs="新宋体"/>
                <w:color w:val="auto"/>
                <w:szCs w:val="21"/>
                <w:lang w:eastAsia="zh-CN"/>
              </w:rPr>
              <w:t>）</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19EEA2EA">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szCs w:val="21"/>
                <w:lang w:eastAsia="zh-CN"/>
              </w:rPr>
              <w:t>评标小组到投标人现场实地考察评分</w:t>
            </w:r>
          </w:p>
        </w:tc>
      </w:tr>
    </w:tbl>
    <w:p w14:paraId="4C0258AB">
      <w:pPr>
        <w:pStyle w:val="2"/>
        <w:adjustRightInd w:val="0"/>
        <w:spacing w:line="400" w:lineRule="auto"/>
        <w:rPr>
          <w:rFonts w:hint="eastAsia" w:ascii="新宋体" w:hAnsi="新宋体" w:eastAsia="新宋体" w:cs="新宋体"/>
          <w:b/>
          <w:color w:val="auto"/>
          <w:sz w:val="21"/>
          <w:szCs w:val="21"/>
        </w:rPr>
      </w:pPr>
    </w:p>
    <w:bookmarkEnd w:id="0"/>
    <w:bookmarkEnd w:id="1"/>
    <w:bookmarkEnd w:id="2"/>
    <w:p w14:paraId="7187DD3C">
      <w:pPr>
        <w:rPr>
          <w:rFonts w:ascii="宋体" w:hAnsi="宋体"/>
          <w:color w:val="auto"/>
          <w:szCs w:val="21"/>
        </w:rPr>
      </w:pPr>
    </w:p>
    <w:p w14:paraId="2F29B07C">
      <w:pPr>
        <w:rPr>
          <w:rFonts w:ascii="宋体" w:hAnsi="宋体"/>
          <w:color w:val="auto"/>
          <w:szCs w:val="21"/>
        </w:rPr>
      </w:pPr>
    </w:p>
    <w:p w14:paraId="6D800DC9">
      <w:pPr>
        <w:rPr>
          <w:rFonts w:ascii="宋体" w:hAnsi="宋体"/>
          <w:color w:val="auto"/>
          <w:szCs w:val="21"/>
        </w:rPr>
      </w:pPr>
    </w:p>
    <w:p w14:paraId="0C9B0C5C">
      <w:pPr>
        <w:rPr>
          <w:rFonts w:ascii="宋体" w:hAnsi="宋体"/>
          <w:color w:val="auto"/>
          <w:szCs w:val="21"/>
        </w:rPr>
      </w:pPr>
    </w:p>
    <w:p w14:paraId="3EB7A2EB">
      <w:pPr>
        <w:rPr>
          <w:rFonts w:ascii="宋体" w:hAnsi="宋体"/>
          <w:color w:val="auto"/>
          <w:szCs w:val="21"/>
        </w:rPr>
      </w:pPr>
    </w:p>
    <w:p w14:paraId="21D34A82">
      <w:pPr>
        <w:rPr>
          <w:rFonts w:ascii="宋体" w:hAnsi="宋体"/>
          <w:color w:val="auto"/>
          <w:szCs w:val="21"/>
        </w:rPr>
      </w:pPr>
    </w:p>
    <w:p w14:paraId="1FA814EA">
      <w:pPr>
        <w:rPr>
          <w:rFonts w:ascii="宋体" w:hAnsi="宋体"/>
          <w:color w:val="auto"/>
          <w:szCs w:val="21"/>
        </w:rPr>
      </w:pPr>
    </w:p>
    <w:p w14:paraId="3B920A04">
      <w:pPr>
        <w:rPr>
          <w:rFonts w:ascii="宋体" w:hAnsi="宋体"/>
          <w:color w:val="auto"/>
          <w:szCs w:val="21"/>
        </w:rPr>
      </w:pPr>
    </w:p>
    <w:p w14:paraId="16F6F1D1">
      <w:pPr>
        <w:rPr>
          <w:rFonts w:ascii="宋体" w:hAnsi="宋体"/>
          <w:color w:val="auto"/>
          <w:szCs w:val="21"/>
        </w:rPr>
      </w:pPr>
    </w:p>
    <w:p w14:paraId="4DCF368F">
      <w:pPr>
        <w:rPr>
          <w:rFonts w:ascii="宋体" w:hAnsi="宋体"/>
          <w:color w:val="auto"/>
          <w:szCs w:val="21"/>
        </w:rPr>
      </w:pPr>
    </w:p>
    <w:p w14:paraId="02E40A96">
      <w:pPr>
        <w:rPr>
          <w:rFonts w:hint="eastAsia" w:ascii="宋体" w:hAnsi="宋体"/>
          <w:szCs w:val="21"/>
        </w:rPr>
      </w:pPr>
    </w:p>
    <w:p w14:paraId="2FE99AFC">
      <w:pPr>
        <w:rPr>
          <w:rFonts w:hint="eastAsia" w:ascii="宋体" w:hAnsi="宋体"/>
          <w:szCs w:val="21"/>
        </w:rPr>
      </w:pPr>
    </w:p>
    <w:p w14:paraId="3B6621FE">
      <w:pPr>
        <w:rPr>
          <w:rFonts w:hint="eastAsia" w:ascii="宋体" w:hAnsi="宋体"/>
          <w:szCs w:val="21"/>
        </w:rPr>
      </w:pPr>
    </w:p>
    <w:p w14:paraId="47C8ED08">
      <w:pPr>
        <w:rPr>
          <w:rFonts w:hint="eastAsia" w:ascii="宋体" w:hAnsi="宋体"/>
          <w:szCs w:val="21"/>
        </w:rPr>
      </w:pPr>
    </w:p>
    <w:p w14:paraId="17C12AF2">
      <w:pPr>
        <w:rPr>
          <w:rFonts w:hint="eastAsia" w:ascii="宋体" w:hAnsi="宋体"/>
          <w:szCs w:val="21"/>
        </w:rPr>
      </w:pPr>
    </w:p>
    <w:p w14:paraId="15B12937">
      <w:pPr>
        <w:rPr>
          <w:rFonts w:hint="eastAsia" w:ascii="宋体" w:hAnsi="宋体"/>
          <w:szCs w:val="21"/>
        </w:rPr>
      </w:pPr>
    </w:p>
    <w:p w14:paraId="41870477">
      <w:pPr>
        <w:rPr>
          <w:rFonts w:hint="eastAsia" w:ascii="宋体" w:hAnsi="宋体"/>
          <w:szCs w:val="21"/>
        </w:rPr>
      </w:pPr>
    </w:p>
    <w:p w14:paraId="1F9B82A7">
      <w:pPr>
        <w:rPr>
          <w:rFonts w:hint="eastAsia" w:ascii="宋体" w:hAnsi="宋体"/>
          <w:szCs w:val="21"/>
        </w:rPr>
      </w:pPr>
    </w:p>
    <w:p w14:paraId="54CC1A5C">
      <w:pPr>
        <w:rPr>
          <w:rFonts w:hint="eastAsia" w:ascii="宋体" w:hAnsi="宋体"/>
          <w:szCs w:val="21"/>
        </w:rPr>
      </w:pPr>
    </w:p>
    <w:p w14:paraId="5FEAB12D">
      <w:pPr>
        <w:rPr>
          <w:rFonts w:hint="eastAsia" w:ascii="宋体" w:hAnsi="宋体"/>
          <w:szCs w:val="21"/>
        </w:rPr>
      </w:pPr>
    </w:p>
    <w:p w14:paraId="319C8346">
      <w:pPr>
        <w:rPr>
          <w:rFonts w:hint="eastAsia" w:ascii="宋体" w:hAnsi="宋体"/>
          <w:szCs w:val="21"/>
        </w:rPr>
      </w:pPr>
    </w:p>
    <w:p w14:paraId="1740F499">
      <w:pPr>
        <w:rPr>
          <w:rFonts w:hint="eastAsia" w:ascii="宋体" w:hAnsi="宋体"/>
          <w:szCs w:val="21"/>
        </w:rPr>
      </w:pPr>
    </w:p>
    <w:p w14:paraId="31F79099">
      <w:pPr>
        <w:rPr>
          <w:rFonts w:hint="eastAsia" w:ascii="宋体" w:hAnsi="宋体"/>
          <w:szCs w:val="21"/>
        </w:rPr>
      </w:pPr>
    </w:p>
    <w:p w14:paraId="0B0E88D6">
      <w:pPr>
        <w:pStyle w:val="2"/>
        <w:adjustRightInd w:val="0"/>
        <w:spacing w:line="400" w:lineRule="auto"/>
        <w:rPr>
          <w:rFonts w:hint="eastAsia" w:ascii="新宋体" w:hAnsi="新宋体" w:eastAsia="新宋体" w:cs="新宋体"/>
          <w:b/>
          <w:color w:val="000000"/>
          <w:sz w:val="21"/>
          <w:szCs w:val="21"/>
        </w:rPr>
      </w:pPr>
    </w:p>
    <w:p w14:paraId="5C503DF1">
      <w:pPr>
        <w:pStyle w:val="2"/>
        <w:adjustRightInd w:val="0"/>
        <w:spacing w:line="400" w:lineRule="auto"/>
        <w:rPr>
          <w:rFonts w:hint="eastAsia" w:ascii="新宋体" w:hAnsi="新宋体" w:eastAsia="新宋体" w:cs="新宋体"/>
          <w:b/>
          <w:color w:val="000000"/>
          <w:sz w:val="21"/>
          <w:szCs w:val="21"/>
        </w:rPr>
      </w:pPr>
    </w:p>
    <w:p w14:paraId="20435E9E">
      <w:pPr>
        <w:pStyle w:val="2"/>
        <w:adjustRightInd w:val="0"/>
        <w:spacing w:line="400" w:lineRule="auto"/>
        <w:rPr>
          <w:rFonts w:hAnsi="宋体"/>
          <w:b/>
          <w:color w:val="000000"/>
          <w:szCs w:val="21"/>
        </w:rPr>
      </w:pPr>
      <w:r>
        <w:rPr>
          <w:rFonts w:hint="eastAsia" w:ascii="新宋体" w:hAnsi="新宋体" w:eastAsia="新宋体" w:cs="新宋体"/>
          <w:b/>
          <w:color w:val="000000"/>
          <w:sz w:val="21"/>
          <w:szCs w:val="21"/>
        </w:rPr>
        <w:t>3. 评标程序</w:t>
      </w:r>
    </w:p>
    <w:p w14:paraId="112E61D8">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初步评审</w:t>
      </w:r>
    </w:p>
    <w:p w14:paraId="37458C87">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投标人有以下情形之一的，其投标作否决投标处理：</w:t>
      </w:r>
    </w:p>
    <w:p w14:paraId="366663C5">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 xml:space="preserve">（1）为招标人不具有独立法人资格的附属机构（单位）； </w:t>
      </w:r>
    </w:p>
    <w:p w14:paraId="0605EC5E">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（2）被责令停业的；</w:t>
      </w:r>
    </w:p>
    <w:p w14:paraId="7DCCF3BA">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（3）被暂停或取消投标资格的；</w:t>
      </w:r>
    </w:p>
    <w:p w14:paraId="488AFF79">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（4）财产被接管或冻结的；</w:t>
      </w:r>
    </w:p>
    <w:p w14:paraId="3D1B3AD5">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（5）在最近三年内有骗取中标或严重违约或重大质量问题的；</w:t>
      </w:r>
    </w:p>
    <w:p w14:paraId="678456B1">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（6）串通投标或弄虚作假或有其他违法行为的；</w:t>
      </w:r>
    </w:p>
    <w:p w14:paraId="024A19E2">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（7）不按评标委员会要求澄清、说明或补正的；</w:t>
      </w:r>
    </w:p>
    <w:p w14:paraId="1C023874">
      <w:pPr>
        <w:pStyle w:val="2"/>
        <w:adjustRightInd w:val="0"/>
        <w:spacing w:line="400" w:lineRule="auto"/>
        <w:ind w:firstLine="424" w:firstLineChars="202"/>
        <w:rPr>
          <w:rFonts w:hint="eastAsia" w:ascii="新宋体" w:hAnsi="新宋体" w:eastAsia="新宋体" w:cs="新宋体"/>
          <w:color w:val="000000"/>
          <w:sz w:val="21"/>
          <w:szCs w:val="21"/>
        </w:rPr>
      </w:pPr>
      <w:r>
        <w:rPr>
          <w:rFonts w:hint="eastAsia" w:ascii="新宋体" w:hAnsi="新宋体" w:eastAsia="新宋体" w:cs="新宋体"/>
          <w:color w:val="000000"/>
          <w:sz w:val="21"/>
          <w:szCs w:val="21"/>
        </w:rPr>
        <w:t>（8）有串标嫌疑的；</w:t>
      </w:r>
    </w:p>
    <w:p w14:paraId="0380F96C">
      <w:pPr>
        <w:pStyle w:val="2"/>
        <w:adjustRightInd w:val="0"/>
        <w:spacing w:line="400" w:lineRule="auto"/>
        <w:ind w:firstLine="424" w:firstLineChars="202"/>
        <w:rPr>
          <w:rFonts w:hint="eastAsia" w:ascii="新宋体" w:hAnsi="新宋体" w:eastAsia="新宋体" w:cs="新宋体"/>
          <w:color w:val="000000"/>
          <w:sz w:val="21"/>
          <w:szCs w:val="21"/>
          <w:lang w:val="en-US" w:eastAsia="zh-CN"/>
        </w:rPr>
      </w:pPr>
      <w:r>
        <w:rPr>
          <w:rFonts w:hint="eastAsia" w:ascii="新宋体" w:hAnsi="新宋体" w:eastAsia="新宋体" w:cs="新宋体"/>
          <w:color w:val="000000"/>
          <w:sz w:val="21"/>
          <w:szCs w:val="21"/>
          <w:lang w:eastAsia="zh-CN"/>
        </w:rPr>
        <w:t>（</w:t>
      </w:r>
      <w:r>
        <w:rPr>
          <w:rFonts w:hint="eastAsia" w:ascii="新宋体" w:hAnsi="新宋体" w:eastAsia="新宋体" w:cs="新宋体"/>
          <w:color w:val="000000"/>
          <w:sz w:val="21"/>
          <w:szCs w:val="21"/>
          <w:lang w:val="en-US" w:eastAsia="zh-CN"/>
        </w:rPr>
        <w:t>9）法人有失信、犯罪记录</w:t>
      </w:r>
      <w:r>
        <w:rPr>
          <w:rFonts w:hint="eastAsia" w:ascii="新宋体" w:hAnsi="新宋体" w:eastAsia="新宋体" w:cs="新宋体"/>
          <w:color w:val="000000"/>
          <w:sz w:val="21"/>
          <w:szCs w:val="21"/>
        </w:rPr>
        <w:t>；</w:t>
      </w:r>
    </w:p>
    <w:p w14:paraId="7A242E77">
      <w:pPr>
        <w:pStyle w:val="2"/>
        <w:adjustRightInd w:val="0"/>
        <w:spacing w:line="400" w:lineRule="auto"/>
        <w:ind w:firstLine="424" w:firstLineChars="202"/>
        <w:rPr>
          <w:rFonts w:hint="default" w:ascii="新宋体" w:hAnsi="新宋体" w:eastAsia="新宋体" w:cs="新宋体"/>
          <w:color w:val="auto"/>
          <w:sz w:val="21"/>
          <w:szCs w:val="21"/>
          <w:lang w:val="en-US" w:eastAsia="zh-CN"/>
        </w:rPr>
      </w:pPr>
      <w:r>
        <w:rPr>
          <w:rFonts w:hint="eastAsia" w:ascii="新宋体" w:hAnsi="新宋体" w:eastAsia="新宋体" w:cs="新宋体"/>
          <w:color w:val="000000"/>
          <w:sz w:val="21"/>
          <w:szCs w:val="21"/>
          <w:lang w:val="en-US" w:eastAsia="zh-CN"/>
        </w:rPr>
        <w:t>（10</w:t>
      </w:r>
      <w:r>
        <w:rPr>
          <w:rFonts w:hint="eastAsia" w:ascii="新宋体" w:hAnsi="新宋体" w:eastAsia="新宋体" w:cs="新宋体"/>
          <w:color w:val="auto"/>
          <w:sz w:val="21"/>
          <w:szCs w:val="21"/>
          <w:lang w:val="en-US" w:eastAsia="zh-CN"/>
        </w:rPr>
        <w:t>）2022年1月1日至今有卫生部门处罚记录</w:t>
      </w:r>
      <w:r>
        <w:rPr>
          <w:rFonts w:hint="eastAsia" w:ascii="新宋体" w:hAnsi="新宋体" w:eastAsia="新宋体" w:cs="新宋体"/>
          <w:color w:val="auto"/>
          <w:sz w:val="21"/>
          <w:szCs w:val="21"/>
        </w:rPr>
        <w:t>；</w:t>
      </w:r>
    </w:p>
    <w:p w14:paraId="7B016DB5">
      <w:pPr>
        <w:pStyle w:val="2"/>
        <w:adjustRightInd w:val="0"/>
        <w:spacing w:line="400" w:lineRule="auto"/>
        <w:rPr>
          <w:rFonts w:hAnsi="宋体"/>
          <w:b/>
          <w:color w:val="auto"/>
          <w:sz w:val="21"/>
          <w:szCs w:val="21"/>
        </w:rPr>
      </w:pPr>
      <w:r>
        <w:rPr>
          <w:rFonts w:hint="eastAsia" w:ascii="新宋体" w:hAnsi="新宋体" w:eastAsia="新宋体" w:cs="新宋体"/>
          <w:b/>
          <w:color w:val="auto"/>
          <w:sz w:val="21"/>
          <w:szCs w:val="21"/>
        </w:rPr>
        <w:t xml:space="preserve"> 详细评审</w:t>
      </w:r>
    </w:p>
    <w:p w14:paraId="10507B22">
      <w:pPr>
        <w:pStyle w:val="2"/>
        <w:adjustRightInd w:val="0"/>
        <w:spacing w:line="400" w:lineRule="auto"/>
        <w:ind w:firstLine="315" w:firstLineChars="150"/>
        <w:rPr>
          <w:rFonts w:hAnsi="宋体"/>
          <w:color w:val="auto"/>
          <w:sz w:val="21"/>
          <w:szCs w:val="21"/>
        </w:rPr>
      </w:pPr>
      <w:r>
        <w:rPr>
          <w:rFonts w:hint="eastAsia" w:ascii="新宋体" w:hAnsi="新宋体" w:eastAsia="新宋体" w:cs="新宋体"/>
          <w:color w:val="auto"/>
          <w:sz w:val="21"/>
          <w:szCs w:val="21"/>
        </w:rPr>
        <w:t xml:space="preserve"> 评标委员会按本评比办法规定的量化因素和分值进行打分，并计算出商务得分及技术得分。</w:t>
      </w:r>
    </w:p>
    <w:p w14:paraId="6913F2DC">
      <w:pPr>
        <w:pStyle w:val="2"/>
        <w:adjustRightInd w:val="0"/>
        <w:spacing w:line="400" w:lineRule="auto"/>
        <w:ind w:firstLine="315" w:firstLineChars="150"/>
        <w:rPr>
          <w:rFonts w:hint="eastAsia" w:hAnsi="宋体" w:eastAsia="新宋体"/>
          <w:color w:val="auto"/>
          <w:sz w:val="21"/>
          <w:szCs w:val="21"/>
        </w:rPr>
      </w:pPr>
      <w:r>
        <w:rPr>
          <w:rFonts w:hint="eastAsia" w:ascii="新宋体" w:hAnsi="新宋体" w:eastAsia="新宋体" w:cs="新宋体"/>
          <w:color w:val="auto"/>
          <w:sz w:val="21"/>
          <w:szCs w:val="21"/>
        </w:rPr>
        <w:t xml:space="preserve">  投标人得分为商务部分</w:t>
      </w:r>
      <w:r>
        <w:rPr>
          <w:rFonts w:hint="eastAsia" w:ascii="新宋体" w:hAnsi="新宋体" w:eastAsia="新宋体" w:cs="新宋体"/>
          <w:color w:val="auto"/>
          <w:sz w:val="21"/>
          <w:szCs w:val="21"/>
          <w:lang w:val="en-US" w:eastAsia="zh-CN"/>
        </w:rPr>
        <w:t>48</w:t>
      </w:r>
      <w:r>
        <w:rPr>
          <w:rFonts w:hint="eastAsia" w:ascii="新宋体" w:hAnsi="新宋体" w:eastAsia="新宋体" w:cs="新宋体"/>
          <w:color w:val="auto"/>
          <w:sz w:val="21"/>
          <w:szCs w:val="21"/>
        </w:rPr>
        <w:t>%、技术部分</w:t>
      </w:r>
      <w:r>
        <w:rPr>
          <w:rFonts w:hint="eastAsia" w:ascii="新宋体" w:hAnsi="新宋体" w:eastAsia="新宋体" w:cs="新宋体"/>
          <w:color w:val="auto"/>
          <w:sz w:val="21"/>
          <w:szCs w:val="21"/>
          <w:lang w:val="en-US" w:eastAsia="zh-CN"/>
        </w:rPr>
        <w:t>35</w:t>
      </w:r>
      <w:r>
        <w:rPr>
          <w:rFonts w:hint="eastAsia" w:ascii="新宋体" w:hAnsi="新宋体" w:eastAsia="新宋体" w:cs="新宋体"/>
          <w:color w:val="auto"/>
          <w:sz w:val="21"/>
          <w:szCs w:val="21"/>
        </w:rPr>
        <w:t>%、实地考察部分</w:t>
      </w:r>
      <w:r>
        <w:rPr>
          <w:rFonts w:hint="eastAsia" w:ascii="新宋体" w:hAnsi="新宋体" w:eastAsia="新宋体" w:cs="新宋体"/>
          <w:color w:val="auto"/>
          <w:sz w:val="21"/>
          <w:szCs w:val="21"/>
          <w:lang w:val="en-US" w:eastAsia="zh-CN"/>
        </w:rPr>
        <w:t>17</w:t>
      </w:r>
      <w:r>
        <w:rPr>
          <w:rFonts w:hint="eastAsia" w:ascii="新宋体" w:hAnsi="新宋体" w:eastAsia="新宋体" w:cs="新宋体"/>
          <w:color w:val="auto"/>
          <w:sz w:val="21"/>
          <w:szCs w:val="21"/>
        </w:rPr>
        <w:t>%。实地考察部分将在商务与技术合计得分前3名中标候选人中进行，实地考察评分后计入总分。</w:t>
      </w:r>
    </w:p>
    <w:p w14:paraId="52591386">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投标文件的澄清和补正</w:t>
      </w:r>
    </w:p>
    <w:p w14:paraId="274232FE">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在评标过程中，评标委员会可以书面形式要求投标人对所提交投标文件中不明确的内容进行书面澄清或说明，或者对细微偏差进行补正。评标委员会不接受投标人主动提出的澄清、说明或补正。</w:t>
      </w:r>
    </w:p>
    <w:p w14:paraId="2A1B211C">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澄清、说明和补正不得改变投标文件的实质性内容（算术性错误修正的除外）。投标人的书面澄清、说明和补正属于投标文件的组成部分。</w:t>
      </w:r>
    </w:p>
    <w:p w14:paraId="7C00153E">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评标委员会对投标人提交的澄清、说明或补正有疑问的，可以要求投标人进一步澄清、说明或补正，直至满足评标委员会的要求。</w:t>
      </w:r>
    </w:p>
    <w:p w14:paraId="111D1C93">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现场调查资格预审申请文件</w:t>
      </w:r>
    </w:p>
    <w:p w14:paraId="4189C86D">
      <w:pPr>
        <w:spacing w:line="400" w:lineRule="exact"/>
        <w:ind w:firstLine="420" w:firstLineChars="200"/>
        <w:rPr>
          <w:rFonts w:ascii="宋体" w:hAnsi="宋体"/>
          <w:color w:val="000000"/>
          <w:szCs w:val="21"/>
        </w:rPr>
      </w:pPr>
      <w:r>
        <w:rPr>
          <w:rFonts w:hint="eastAsia" w:ascii="新宋体" w:hAnsi="新宋体" w:eastAsia="新宋体" w:cs="新宋体"/>
          <w:color w:val="000000"/>
          <w:szCs w:val="21"/>
        </w:rPr>
        <w:t>资格预审委员会对某供应商资质、业绩等存在疑虑，可组织相关人员到供应商现场调查。</w:t>
      </w:r>
    </w:p>
    <w:p w14:paraId="4DABFA2F">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评标结果</w:t>
      </w:r>
    </w:p>
    <w:p w14:paraId="718767D0">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评标委员会按照得分由高到低的顺序推荐通过资格预审的申请人名单。</w:t>
      </w:r>
    </w:p>
    <w:p w14:paraId="57EC99CF">
      <w:pPr>
        <w:pStyle w:val="2"/>
        <w:adjustRightInd w:val="0"/>
        <w:spacing w:line="400" w:lineRule="auto"/>
        <w:ind w:firstLine="315" w:firstLineChars="150"/>
      </w:pPr>
      <w:r>
        <w:rPr>
          <w:rFonts w:hint="eastAsia" w:ascii="新宋体" w:hAnsi="新宋体" w:eastAsia="新宋体" w:cs="新宋体"/>
          <w:color w:val="000000"/>
          <w:sz w:val="21"/>
          <w:szCs w:val="21"/>
        </w:rPr>
        <w:t xml:space="preserve"> 评标委员会完成评标后，向招标人提交书面评标报告。</w:t>
      </w:r>
    </w:p>
    <w:p w14:paraId="6C2515F6">
      <w:pPr>
        <w:rPr>
          <w:rFonts w:ascii="宋体" w:hAnsi="宋体"/>
          <w:szCs w:val="21"/>
        </w:rPr>
      </w:pPr>
    </w:p>
    <w:p w14:paraId="2E3A29EE">
      <w:pPr>
        <w:rPr>
          <w:rFonts w:ascii="宋体" w:hAnsi="宋体"/>
          <w:szCs w:val="21"/>
        </w:rPr>
      </w:pPr>
    </w:p>
    <w:p w14:paraId="7C387F37"/>
    <w:p w14:paraId="78B73D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wMzg4ZjBjNjc2ZjNmNjU3M2VjYjllOWUzMGFmMzgifQ=="/>
  </w:docVars>
  <w:rsids>
    <w:rsidRoot w:val="00000000"/>
    <w:rsid w:val="0C215EA4"/>
    <w:rsid w:val="17185FB5"/>
    <w:rsid w:val="1748593C"/>
    <w:rsid w:val="21E32EB0"/>
    <w:rsid w:val="2E5B115D"/>
    <w:rsid w:val="34B55B19"/>
    <w:rsid w:val="36B3399D"/>
    <w:rsid w:val="3CD47627"/>
    <w:rsid w:val="485C1410"/>
    <w:rsid w:val="4B8B169B"/>
    <w:rsid w:val="59860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1817</Words>
  <Characters>1861</Characters>
  <Lines>0</Lines>
  <Paragraphs>0</Paragraphs>
  <TotalTime>11</TotalTime>
  <ScaleCrop>false</ScaleCrop>
  <LinksUpToDate>false</LinksUpToDate>
  <CharactersWithSpaces>1881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2023-06-03T08:43:00Z</dcterms:created>
  <dc:creator>Administrator</dc:creator>
  <cp:lastModifiedBy>ll_moy</cp:lastModifiedBy>
  <cp:lastPrinted>2024-12-16T02:20:00Z</cp:lastPrinted>
  <dcterms:modified xsi:type="dcterms:W3CDTF">2024-12-17T01:14:51Z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91CC85E47EBF4FEC9116A3A1225B8CC9_13</vt:lpwstr>
  </property>
</Properties>
</file>