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07C19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7" w:name="_GoBack"/>
      <w:bookmarkEnd w:id="7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附件1：广告物料清单一览表</w:t>
      </w:r>
    </w:p>
    <w:tbl>
      <w:tblPr>
        <w:tblStyle w:val="21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536"/>
        <w:gridCol w:w="4176"/>
        <w:gridCol w:w="737"/>
        <w:gridCol w:w="720"/>
        <w:gridCol w:w="1320"/>
      </w:tblGrid>
      <w:tr w14:paraId="2F9AF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2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BB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工艺、材质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1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C5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 w14:paraId="74FFA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4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C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条幅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4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红色丝网布,热转印字(高度 70cm)含安装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2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</w:tr>
      <w:tr w14:paraId="45D94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4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D2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条幅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红色丝网布,热转印字(高度 90cm)含安装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4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19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</w:tr>
      <w:tr w14:paraId="2200D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8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旗帜彩旗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F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旗帜布含杆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0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AF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9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</w:tr>
      <w:tr w14:paraId="60E61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3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C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玻璃贴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UV透明膜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36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 w14:paraId="7EA5A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DB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背景行架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B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桁架+550 黑底灯布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79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71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3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</w:tr>
      <w:tr w14:paraId="06D7E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8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发光字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F2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冲孔发光字（蓝景灯珠）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0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</w:tr>
      <w:tr w14:paraId="28527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4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水晶字立体字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8+3水晶字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5A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C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 w14:paraId="72A4D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5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广告宣传牌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8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方管铁架+镀锌板+08 厚不锈钢包边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A8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3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</w:tr>
      <w:tr w14:paraId="26BE6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0E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66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灯布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5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550高清灯布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F8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 w14:paraId="2A4D5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3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灯布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9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550黑底灯布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3F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D7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5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 w14:paraId="74B84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F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灯布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9C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550高清灯布+高空安装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F2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93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</w:tr>
      <w:tr w14:paraId="73BF7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D5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灯布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550黑底灯布+高空安装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8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1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4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</w:tr>
      <w:tr w14:paraId="3F5EE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CE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网格布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05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喷绘网格布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2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A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</w:tr>
      <w:tr w14:paraId="6CEE6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0C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3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刀刮布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E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喷绘刀刮布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C9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A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3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 w14:paraId="0480B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3A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7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单透贴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90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单孔透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A2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A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</w:tr>
      <w:tr w14:paraId="2F1E6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C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3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户外背胶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45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高清户外背胶裱亮膜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7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A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</w:tr>
      <w:tr w14:paraId="2B757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2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印刷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D2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 克铜版纸 A4 双面印刷 1000 张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9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4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</w:tr>
      <w:tr w14:paraId="69E00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6F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7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印刷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85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 克铜版纸三折页 A4 印刷 1000 张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57"/>
                <w:color w:val="auto"/>
                <w:lang w:val="en-US" w:eastAsia="zh-CN" w:bidi="ar"/>
              </w:rPr>
              <w:t>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</w:tr>
      <w:tr w14:paraId="74164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2F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高空安装费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06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B6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4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</w:tr>
    </w:tbl>
    <w:p w14:paraId="5E26259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三明城发城市服务集团有限公司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三明城发城市服务集团有限公司广告物料制作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三明城发城市服务集团有限公司广告物料制作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0581628B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业绩证明材料</w:t>
      </w:r>
      <w:r>
        <w:rPr>
          <w:rFonts w:hint="eastAsia"/>
          <w:color w:val="auto"/>
          <w:highlight w:val="none"/>
          <w:lang w:eastAsia="zh-CN"/>
        </w:rPr>
        <w:t>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其他证明文件（如有）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申请人：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i w:val="0"/>
          <w:iCs w:val="0"/>
          <w:color w:val="auto"/>
          <w:spacing w:val="14"/>
          <w:sz w:val="24"/>
          <w:highlight w:val="none"/>
        </w:rPr>
        <w:t>（盖单位公章）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i w:val="0"/>
          <w:iCs w:val="0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i w:val="0"/>
          <w:iCs w:val="0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宋体"/>
          <w:i w:val="0"/>
          <w:iCs w:val="0"/>
          <w:color w:val="auto"/>
          <w:sz w:val="24"/>
          <w:highlight w:val="none"/>
        </w:rPr>
        <w:t>或</w:t>
      </w:r>
      <w:r>
        <w:rPr>
          <w:rFonts w:hint="eastAsia" w:ascii="宋体"/>
          <w:i w:val="0"/>
          <w:iCs w:val="0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i w:val="0"/>
          <w:iCs w:val="0"/>
          <w:color w:val="auto"/>
          <w:sz w:val="24"/>
          <w:highlight w:val="none"/>
        </w:rPr>
        <w:t>：</w:t>
      </w:r>
      <w:r>
        <w:rPr>
          <w:rFonts w:hint="eastAsia" w:ascii="宋体"/>
          <w:i w:val="0"/>
          <w:iCs w:val="0"/>
          <w:color w:val="auto"/>
          <w:sz w:val="24"/>
          <w:highlight w:val="none"/>
          <w:u w:val="single"/>
        </w:rPr>
        <w:t xml:space="preserve">        （签字或盖章）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9D7BF13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01D9205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3CD68DC1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53B4DE85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比选申请人自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比选公告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发布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之日（含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比选公告发布之日）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起前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一年内具备至少一项类似业绩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4F811D6D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77E766B1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2F13C4A4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注:须提供类似业绩合同复印件、合同款正式发票复印件，业绩时间以合同签订之日为准；业绩证明材料须加盖单位公章。</w:t>
      </w:r>
    </w:p>
    <w:p w14:paraId="590E67F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1-4.其他证明文件（如有）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其他证明文件（如有）</w:t>
      </w: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3BE358B4">
      <w:pPr>
        <w:pStyle w:val="11"/>
        <w:rPr>
          <w:rFonts w:hint="eastAsia"/>
          <w:color w:val="auto"/>
          <w:highlight w:val="none"/>
          <w:lang w:val="en-US" w:eastAsia="zh-CN"/>
        </w:rPr>
      </w:pPr>
    </w:p>
    <w:p w14:paraId="48C11EC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三明城发城市服务集团有限公司广告物料制作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5" w:leftChars="50" w:right="105" w:rightChars="5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</w:t>
            </w: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ind w:left="105" w:leftChars="50" w:right="105" w:rightChars="5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下浮率K值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自合同签订之日起一年，合同期限届满前60日比选人根据履约情况决定合同期限是否顺延，顺延次数不超过1次，合同顺延时限为一年</w:t>
            </w:r>
          </w:p>
        </w:tc>
      </w:tr>
      <w:tr w14:paraId="18F6D7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EE7B88E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交货地址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173DDA3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比选人指定位置</w:t>
            </w:r>
          </w:p>
        </w:tc>
      </w:tr>
      <w:tr w14:paraId="6B4E53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61A8899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58A6671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以比选人发出的供货通知为准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F4AF5D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p w14:paraId="2425EA04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710DCA4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本比选项目采用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1F9B1AED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若资格条件、报价符合要求的比选申请人仅有1家时，直接确定其为候选单位。</w:t>
      </w:r>
    </w:p>
    <w:p w14:paraId="66FE51E3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若资格条件、报价符合要求的比选申请人数量超过1家时，将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办法中规定的各项因素进行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综合评价，并根据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候选人。</w:t>
      </w:r>
    </w:p>
    <w:p w14:paraId="5CD38F8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按照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下浮率K值由大到小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由低到高、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技术部分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进行排序，若上述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随机抽取，先抽取出来的球号排序在前。</w:t>
      </w:r>
    </w:p>
    <w:p w14:paraId="5AE72A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各项因素分值如下：</w:t>
      </w:r>
    </w:p>
    <w:p w14:paraId="25CADD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价格部分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得分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 满分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70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分</w:t>
      </w:r>
    </w:p>
    <w:p w14:paraId="48B203B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商务技术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部分得分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 满分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分</w:t>
      </w:r>
    </w:p>
    <w:p w14:paraId="31DE9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</w:p>
    <w:p w14:paraId="6311E599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  <w:t>第一部分  价格部分</w:t>
      </w: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  <w:lang w:eastAsia="zh-CN"/>
        </w:rPr>
        <w:t>评价标准</w:t>
      </w: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  <w:t>（满分</w:t>
      </w: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70</w:t>
      </w: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29C3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3DC74FF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4C98BCB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6499F0D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782A7C1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标准</w:t>
            </w:r>
            <w:bookmarkEnd w:id="3"/>
          </w:p>
        </w:tc>
      </w:tr>
      <w:tr w14:paraId="49FB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28FF6D5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0FE7570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1096BD9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70</w:t>
            </w:r>
          </w:p>
        </w:tc>
        <w:tc>
          <w:tcPr>
            <w:tcW w:w="6285" w:type="dxa"/>
            <w:noWrap w:val="0"/>
            <w:vAlign w:val="center"/>
          </w:tcPr>
          <w:p w14:paraId="50107A73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投标报价得分=投标报价分值满分-（|Ai-评标基准价|÷评标基准价）×100×Q</w:t>
            </w:r>
          </w:p>
          <w:p w14:paraId="76922013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其中，Ai 为各比选申请人的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；Q为报价每偏离本工程评标基准价1%的取值：</w:t>
            </w:r>
          </w:p>
          <w:p w14:paraId="6C89BDB9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≤评标基准价时，Q的取值为0.1；</w:t>
            </w:r>
          </w:p>
          <w:p w14:paraId="26771084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&gt;评标基准价时，Q的取值为0.2。</w:t>
            </w:r>
          </w:p>
          <w:p w14:paraId="5AAA74B1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评标基准价为有效投标人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的算数平均值，评标基准价取整数（以“%”为单位，小数点后第三位“四舍五入”，第四位及以后不计）</w:t>
            </w:r>
          </w:p>
        </w:tc>
      </w:tr>
    </w:tbl>
    <w:p w14:paraId="363721DF">
      <w:pPr>
        <w:rPr>
          <w:rFonts w:hint="eastAsia"/>
          <w:color w:val="auto"/>
          <w:highlight w:val="none"/>
        </w:rPr>
      </w:pPr>
    </w:p>
    <w:p w14:paraId="180DF7C1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35"/>
        <w:gridCol w:w="835"/>
        <w:gridCol w:w="6761"/>
      </w:tblGrid>
      <w:tr w14:paraId="15E2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2C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52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评分项目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B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分值</w:t>
            </w:r>
          </w:p>
        </w:tc>
        <w:tc>
          <w:tcPr>
            <w:tcW w:w="6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评分方法描述</w:t>
            </w:r>
          </w:p>
        </w:tc>
      </w:tr>
      <w:tr w14:paraId="2461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E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业绩经验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2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9F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比选申请人在满足资格业绩（1项类似业绩）的得4分；在此基础上，每增加1项近一年的类似业绩得3分，本项满分10分。</w:t>
            </w:r>
          </w:p>
          <w:p w14:paraId="72A03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注:须提供类似业绩合同复印件、合同款正式发票复印件，否则不计得分。业绩时间以合同签订之日为准。</w:t>
            </w:r>
          </w:p>
        </w:tc>
      </w:tr>
      <w:tr w14:paraId="0A9C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D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90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样品1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A8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8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根据各比选申请人提供的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锦里公寓招租折页设计样品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进行横向评价：</w:t>
            </w:r>
          </w:p>
          <w:p w14:paraId="2A261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</w:rPr>
              <w:t>①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根据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整体材质、尺寸、外观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满足要求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情况由好到差依次排序，第一名的得5分，第二名得4分，第三名得3分，其他名次得2分。</w:t>
            </w:r>
          </w:p>
          <w:p w14:paraId="0ADDF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②根据招租设计的内容、布局、创新性等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满足要求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情况由好到差依次排序，第一名的得5分，第二名得4分，第三名得3分，其他名次得2分。</w:t>
            </w:r>
          </w:p>
        </w:tc>
      </w:tr>
      <w:tr w14:paraId="1355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5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样品2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B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EB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根据各比选申请人提供的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城服招商宣传折页设计样品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进行横向评价：</w:t>
            </w:r>
          </w:p>
          <w:p w14:paraId="20251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</w:rPr>
              <w:t>①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根据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整体材质、尺寸、外观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满足要求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情况由好到差依次排序，第一名的得5分，第二名得4分，第三名得3分，其他名次得2分。</w:t>
            </w:r>
          </w:p>
          <w:p w14:paraId="00FDA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②根据招租设计的内容、布局、创新性等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满足要求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情况由好到差依次排序，第一名的得5分，第二名得4分，第三名得3分，其他名次得2分。</w:t>
            </w:r>
          </w:p>
        </w:tc>
      </w:tr>
      <w:bookmarkEnd w:id="6"/>
    </w:tbl>
    <w:p w14:paraId="525DED2A">
      <w:pPr>
        <w:pStyle w:val="11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上述证明材料（含样品）均须加盖比选申请人单位公章，否则不计得分。</w:t>
      </w:r>
    </w:p>
    <w:sectPr>
      <w:headerReference r:id="rId7" w:type="default"/>
      <w:footerReference r:id="rId8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9F53F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620D5D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620D5D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87407">
    <w:pPr>
      <w:pStyle w:val="1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A8647A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501E75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79022D"/>
    <w:rsid w:val="05CB22BB"/>
    <w:rsid w:val="05D20B0D"/>
    <w:rsid w:val="066E1DCB"/>
    <w:rsid w:val="0686237C"/>
    <w:rsid w:val="07140BE0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577D3C"/>
    <w:rsid w:val="09751375"/>
    <w:rsid w:val="09B446FC"/>
    <w:rsid w:val="09E2517C"/>
    <w:rsid w:val="0A002BCE"/>
    <w:rsid w:val="0A043E1E"/>
    <w:rsid w:val="0A185591"/>
    <w:rsid w:val="0A305E02"/>
    <w:rsid w:val="0A4F4DA1"/>
    <w:rsid w:val="0A626CD3"/>
    <w:rsid w:val="0A7F2D7B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DE652D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59168A"/>
    <w:rsid w:val="1177030A"/>
    <w:rsid w:val="11853D3E"/>
    <w:rsid w:val="11B570D6"/>
    <w:rsid w:val="11D50857"/>
    <w:rsid w:val="12170AB5"/>
    <w:rsid w:val="121D0BF1"/>
    <w:rsid w:val="122E0BB8"/>
    <w:rsid w:val="1281092F"/>
    <w:rsid w:val="128A74D9"/>
    <w:rsid w:val="12B47BB8"/>
    <w:rsid w:val="12BA1418"/>
    <w:rsid w:val="13007405"/>
    <w:rsid w:val="13164460"/>
    <w:rsid w:val="13757C46"/>
    <w:rsid w:val="137F4296"/>
    <w:rsid w:val="138F0A28"/>
    <w:rsid w:val="139A7FDD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FC5D79"/>
    <w:rsid w:val="1BC11C11"/>
    <w:rsid w:val="1BCE4119"/>
    <w:rsid w:val="1BD85EAD"/>
    <w:rsid w:val="1C1054B0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C02F4"/>
    <w:rsid w:val="1D9F6FB2"/>
    <w:rsid w:val="1DA768DB"/>
    <w:rsid w:val="1DE30541"/>
    <w:rsid w:val="1DEB07C1"/>
    <w:rsid w:val="1E427332"/>
    <w:rsid w:val="1E617AE2"/>
    <w:rsid w:val="1E8E323C"/>
    <w:rsid w:val="1EB21D0C"/>
    <w:rsid w:val="1EDB6F74"/>
    <w:rsid w:val="1F1A04DE"/>
    <w:rsid w:val="1F3552C7"/>
    <w:rsid w:val="1F4212CF"/>
    <w:rsid w:val="1F6F1B02"/>
    <w:rsid w:val="1F8C6655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BE531A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B53CA1"/>
    <w:rsid w:val="25CE327D"/>
    <w:rsid w:val="25D330C5"/>
    <w:rsid w:val="25D8652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C223FD"/>
    <w:rsid w:val="2ADB405B"/>
    <w:rsid w:val="2AF22485"/>
    <w:rsid w:val="2B040F10"/>
    <w:rsid w:val="2B065713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525AC4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44A6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A13033"/>
    <w:rsid w:val="38CE2BD5"/>
    <w:rsid w:val="38CF5396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807CFD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3334F2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AE0463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4A67E7"/>
    <w:rsid w:val="48545C58"/>
    <w:rsid w:val="48580F04"/>
    <w:rsid w:val="48885DB2"/>
    <w:rsid w:val="48934611"/>
    <w:rsid w:val="48BD64DD"/>
    <w:rsid w:val="490F1BCF"/>
    <w:rsid w:val="49282066"/>
    <w:rsid w:val="494B3E8B"/>
    <w:rsid w:val="49A63EF1"/>
    <w:rsid w:val="49D52F3A"/>
    <w:rsid w:val="49D70C24"/>
    <w:rsid w:val="4A617E1F"/>
    <w:rsid w:val="4AA63EC3"/>
    <w:rsid w:val="4AB93531"/>
    <w:rsid w:val="4ACC6915"/>
    <w:rsid w:val="4B143967"/>
    <w:rsid w:val="4BAE4D40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691971"/>
    <w:rsid w:val="4E727955"/>
    <w:rsid w:val="4E8D38D2"/>
    <w:rsid w:val="4E9C24FE"/>
    <w:rsid w:val="4EA94F21"/>
    <w:rsid w:val="4EC024EA"/>
    <w:rsid w:val="4ECF13C9"/>
    <w:rsid w:val="4ED225C5"/>
    <w:rsid w:val="4F296DBD"/>
    <w:rsid w:val="4F720CD1"/>
    <w:rsid w:val="4F9E3301"/>
    <w:rsid w:val="4FBB0C02"/>
    <w:rsid w:val="4FD2359B"/>
    <w:rsid w:val="4FF537B6"/>
    <w:rsid w:val="501E3056"/>
    <w:rsid w:val="502B5150"/>
    <w:rsid w:val="503A24C6"/>
    <w:rsid w:val="50674285"/>
    <w:rsid w:val="5069710A"/>
    <w:rsid w:val="507E5F1B"/>
    <w:rsid w:val="50A4750D"/>
    <w:rsid w:val="50BA1FB8"/>
    <w:rsid w:val="50E6602D"/>
    <w:rsid w:val="50FA2CEF"/>
    <w:rsid w:val="50FE0569"/>
    <w:rsid w:val="512E2A97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C061A9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1050A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C018AA"/>
    <w:rsid w:val="5BE7521A"/>
    <w:rsid w:val="5BF13A2C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4F64AE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7C69C2"/>
    <w:rsid w:val="5F956A7D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385882"/>
    <w:rsid w:val="60624750"/>
    <w:rsid w:val="60655CC8"/>
    <w:rsid w:val="608C5C95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BC4699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6878B5"/>
    <w:rsid w:val="68761B03"/>
    <w:rsid w:val="6884144A"/>
    <w:rsid w:val="689B2842"/>
    <w:rsid w:val="692929C9"/>
    <w:rsid w:val="6949691B"/>
    <w:rsid w:val="69790883"/>
    <w:rsid w:val="699163F6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6D5645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9A115A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9C63A2"/>
    <w:rsid w:val="79D542E8"/>
    <w:rsid w:val="79E815A7"/>
    <w:rsid w:val="79F226B7"/>
    <w:rsid w:val="79F40A78"/>
    <w:rsid w:val="7A3731F1"/>
    <w:rsid w:val="7A413658"/>
    <w:rsid w:val="7A557FF8"/>
    <w:rsid w:val="7A7D22BB"/>
    <w:rsid w:val="7AAB5D93"/>
    <w:rsid w:val="7ADA324A"/>
    <w:rsid w:val="7ADF3975"/>
    <w:rsid w:val="7AF633E2"/>
    <w:rsid w:val="7AFC296A"/>
    <w:rsid w:val="7B242537"/>
    <w:rsid w:val="7B310FBD"/>
    <w:rsid w:val="7B7A0617"/>
    <w:rsid w:val="7BCB60E0"/>
    <w:rsid w:val="7BD14F61"/>
    <w:rsid w:val="7BDE5535"/>
    <w:rsid w:val="7C0C3ED0"/>
    <w:rsid w:val="7C1F4015"/>
    <w:rsid w:val="7C306F98"/>
    <w:rsid w:val="7C3255A3"/>
    <w:rsid w:val="7C41317D"/>
    <w:rsid w:val="7C4C6E5A"/>
    <w:rsid w:val="7C5A2FDE"/>
    <w:rsid w:val="7C5E4128"/>
    <w:rsid w:val="7C63220F"/>
    <w:rsid w:val="7CA35578"/>
    <w:rsid w:val="7CA51274"/>
    <w:rsid w:val="7CB345FF"/>
    <w:rsid w:val="7CDC6150"/>
    <w:rsid w:val="7D020CA4"/>
    <w:rsid w:val="7D2F6B86"/>
    <w:rsid w:val="7D4C0957"/>
    <w:rsid w:val="7D622584"/>
    <w:rsid w:val="7DF42174"/>
    <w:rsid w:val="7DFE0D56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basedOn w:val="1"/>
    <w:qFormat/>
    <w:uiPriority w:val="0"/>
    <w:rPr>
      <w:rFonts w:ascii="Calibri" w:hAnsi="Calibri" w:cs="Times New Roman"/>
    </w:rPr>
  </w:style>
  <w:style w:type="character" w:customStyle="1" w:styleId="57">
    <w:name w:val="font1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4700</Words>
  <Characters>4889</Characters>
  <Lines>16</Lines>
  <Paragraphs>4</Paragraphs>
  <TotalTime>21</TotalTime>
  <ScaleCrop>false</ScaleCrop>
  <LinksUpToDate>false</LinksUpToDate>
  <CharactersWithSpaces>5258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2023-02-20T08:54:00Z</cp:lastPrinted>
  <dcterms:modified xsi:type="dcterms:W3CDTF">2025-02-12T01:11:56Z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5B94AE47FB57410888A227B1543AF0E8</vt:lpwstr>
  </property>
  <property fmtid="{D5CDD505-2E9C-101B-9397-08002B2CF9AE}" pid="4" name="KSOTemplateDocerSaveRecord">
    <vt:lpwstr>eyJoZGlkIjoiMGNlNzBhNTk0ZmNiNTNlNDBkODhlNTQ3ZDJkZWIxYTUiLCJ1c2VySWQiOiIyNzYxNzA2MzcifQ==</vt:lpwstr>
  </property>
</Properties>
</file>