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val="en-US" w:eastAsia="zh-CN"/>
        </w:rPr>
        <w:t>：采购清单一览表</w:t>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三明生态康养城项目C9地块样板房精装修项目软装采购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三明生态康养城项目C9地块样板房精装修项目软装采购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w:t>
      </w:r>
      <w:bookmarkStart w:id="0" w:name="_GoBack"/>
      <w:bookmarkEnd w:id="0"/>
      <w:r>
        <w:rPr>
          <w:rFonts w:hint="eastAsia"/>
          <w:i w:val="0"/>
          <w:iCs w:val="0"/>
          <w:color w:val="auto"/>
          <w:highlight w:val="none"/>
          <w:lang w:eastAsia="zh-CN"/>
        </w:rPr>
        <w:t>人基本情况表；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比选保证金转账回单。</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30"/>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pPr>
        <w:pStyle w:val="8"/>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8"/>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rPr>
          <w:color w:val="auto"/>
          <w:sz w:val="21"/>
          <w:szCs w:val="21"/>
          <w:highlight w:val="none"/>
          <w:u w:val="none"/>
        </w:rPr>
      </w:pPr>
      <w:r>
        <w:rPr>
          <w:color w:val="auto"/>
          <w:sz w:val="21"/>
          <w:szCs w:val="21"/>
          <w:highlight w:val="none"/>
          <w:u w:val="none"/>
        </w:rPr>
        <w:br w:type="page"/>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 比选保证金转账回单</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pStyle w:val="8"/>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w:t>
      </w:r>
      <w:r>
        <w:rPr>
          <w:rFonts w:hint="eastAsia"/>
          <w:b/>
          <w:bCs/>
          <w:color w:val="auto"/>
          <w:sz w:val="21"/>
          <w:szCs w:val="21"/>
          <w:highlight w:val="none"/>
          <w:u w:val="double"/>
        </w:rPr>
        <w:t>比选保证金转账回单</w:t>
      </w:r>
      <w:r>
        <w:rPr>
          <w:b/>
          <w:bCs/>
          <w:color w:val="auto"/>
          <w:sz w:val="21"/>
          <w:szCs w:val="21"/>
          <w:highlight w:val="none"/>
          <w:u w:val="double"/>
        </w:rPr>
        <w:t>复印件并加盖单位公章</w:t>
      </w:r>
      <w:r>
        <w:rPr>
          <w:b/>
          <w:bCs/>
          <w:color w:val="auto"/>
          <w:sz w:val="21"/>
          <w:szCs w:val="21"/>
          <w:highlight w:val="none"/>
          <w:u w:val="none"/>
        </w:rPr>
        <w:t>。</w:t>
      </w:r>
      <w:r>
        <w:rPr>
          <w:color w:val="auto"/>
          <w:sz w:val="21"/>
          <w:szCs w:val="21"/>
          <w:highlight w:val="none"/>
          <w:u w:val="none"/>
        </w:rPr>
        <w:t xml:space="preserve"> </w:t>
      </w:r>
    </w:p>
    <w:p>
      <w:pPr>
        <w:rPr>
          <w:color w:val="auto"/>
          <w:sz w:val="21"/>
          <w:szCs w:val="21"/>
          <w:highlight w:val="none"/>
          <w:u w:val="none"/>
        </w:rPr>
      </w:pPr>
      <w:r>
        <w:rPr>
          <w:color w:val="auto"/>
          <w:sz w:val="21"/>
          <w:szCs w:val="21"/>
          <w:highlight w:val="none"/>
          <w:u w:val="none"/>
        </w:rPr>
        <w:br w:type="page"/>
      </w:r>
    </w:p>
    <w:p>
      <w:pPr>
        <w:rPr>
          <w:rFonts w:hint="default" w:ascii="宋体"/>
          <w:b/>
          <w:color w:val="auto"/>
          <w:sz w:val="24"/>
          <w:szCs w:val="24"/>
          <w:highlight w:val="none"/>
          <w:lang w:val="en-US" w:eastAsia="zh-CN"/>
        </w:rPr>
        <w:sectPr>
          <w:headerReference r:id="rId3" w:type="default"/>
          <w:footerReference r:id="rId4" w:type="default"/>
          <w:pgSz w:w="11906" w:h="16838"/>
          <w:pgMar w:top="1440" w:right="856" w:bottom="1440" w:left="856" w:header="851" w:footer="992" w:gutter="0"/>
          <w:cols w:space="425" w:num="1"/>
          <w:docGrid w:type="lines" w:linePitch="312" w:charSpace="0"/>
        </w:sectPr>
      </w:pP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30"/>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b w:val="0"/>
                <w:bCs w:val="0"/>
                <w:color w:val="auto"/>
                <w:sz w:val="24"/>
                <w:highlight w:val="none"/>
                <w:u w:val="none"/>
                <w:lang w:val="en-US" w:eastAsia="zh-CN"/>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b w:val="0"/>
                <w:bCs w:val="0"/>
                <w:color w:val="auto"/>
                <w:sz w:val="24"/>
                <w:highlight w:val="none"/>
                <w:lang w:val="en-US" w:eastAsia="zh-CN"/>
              </w:rPr>
            </w:pPr>
            <w:r>
              <w:rPr>
                <w:rFonts w:hint="eastAsia" w:ascii="宋体" w:hAnsi="宋体"/>
                <w:b w:val="0"/>
                <w:bCs w:val="0"/>
                <w:color w:val="auto"/>
                <w:sz w:val="24"/>
                <w:highlight w:val="none"/>
                <w:lang w:val="en-US" w:eastAsia="zh-CN"/>
              </w:rPr>
              <w:t>110户型为</w:t>
            </w:r>
            <w:r>
              <w:rPr>
                <w:rFonts w:hint="eastAsia" w:ascii="宋体" w:hAnsi="宋体"/>
                <w:b w:val="0"/>
                <w:bCs w:val="0"/>
                <w:color w:val="auto"/>
                <w:sz w:val="24"/>
                <w:highlight w:val="none"/>
                <w:u w:val="single"/>
                <w:lang w:val="en-US" w:eastAsia="zh-CN"/>
              </w:rPr>
              <w:t xml:space="preserve">        </w:t>
            </w:r>
            <w:r>
              <w:rPr>
                <w:rFonts w:hint="eastAsia" w:ascii="宋体" w:hAnsi="宋体"/>
                <w:b w:val="0"/>
                <w:bCs w:val="0"/>
                <w:color w:val="auto"/>
                <w:sz w:val="24"/>
                <w:highlight w:val="none"/>
                <w:lang w:val="en-US" w:eastAsia="zh-CN"/>
              </w:rPr>
              <w:t>元；</w:t>
            </w:r>
          </w:p>
          <w:p>
            <w:pPr>
              <w:tabs>
                <w:tab w:val="left" w:pos="420"/>
                <w:tab w:val="left" w:pos="630"/>
              </w:tabs>
              <w:spacing w:after="120" w:afterLines="50" w:line="480" w:lineRule="exact"/>
              <w:jc w:val="left"/>
              <w:rPr>
                <w:rFonts w:hint="eastAsia" w:ascii="宋体" w:hAnsi="宋体"/>
                <w:b/>
                <w:bCs/>
                <w:color w:val="auto"/>
                <w:sz w:val="24"/>
                <w:highlight w:val="none"/>
                <w:lang w:val="en-US" w:eastAsia="zh-CN"/>
              </w:rPr>
            </w:pPr>
            <w:r>
              <w:rPr>
                <w:rFonts w:hint="eastAsia" w:ascii="宋体" w:hAnsi="宋体"/>
                <w:b w:val="0"/>
                <w:bCs w:val="0"/>
                <w:color w:val="auto"/>
                <w:sz w:val="24"/>
                <w:highlight w:val="none"/>
                <w:lang w:val="en-US" w:eastAsia="zh-CN"/>
              </w:rPr>
              <w:t>90户型为</w:t>
            </w:r>
            <w:r>
              <w:rPr>
                <w:rFonts w:hint="eastAsia" w:ascii="宋体" w:hAnsi="宋体"/>
                <w:b w:val="0"/>
                <w:bCs w:val="0"/>
                <w:color w:val="auto"/>
                <w:sz w:val="24"/>
                <w:highlight w:val="none"/>
                <w:u w:val="single"/>
                <w:lang w:val="en-US" w:eastAsia="zh-CN"/>
              </w:rPr>
              <w:t xml:space="preserve">        </w:t>
            </w:r>
            <w:r>
              <w:rPr>
                <w:rFonts w:hint="eastAsia" w:ascii="宋体" w:hAnsi="宋体"/>
                <w:b w:val="0"/>
                <w:bCs w:val="0"/>
                <w:color w:val="auto"/>
                <w:sz w:val="24"/>
                <w:highlight w:val="none"/>
                <w:lang w:val="en-US" w:eastAsia="zh-CN"/>
              </w:rPr>
              <w:t>元。</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交货时限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自合同签订后40天内</w:t>
            </w:r>
          </w:p>
        </w:tc>
      </w:tr>
      <w:tr>
        <w:tblPrEx>
          <w:tblLayout w:type="fixed"/>
          <w:tblCellMar>
            <w:top w:w="0" w:type="dxa"/>
            <w:left w:w="0" w:type="dxa"/>
            <w:bottom w:w="0" w:type="dxa"/>
            <w:right w:w="0" w:type="dxa"/>
          </w:tblCellMar>
        </w:tblPrEx>
        <w:trPr>
          <w:trHeight w:val="223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后附分项报价表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（比选申请人必须按分项报价表填报价格。分项报价表中摆放位置、名称、图片、尺寸、材质说明、数量、单位、备注等不得修改，否决报价无效）</w:t>
            </w:r>
          </w:p>
          <w:p>
            <w:pPr>
              <w:jc w:val="center"/>
              <w:rPr>
                <w:rFonts w:hint="eastAsia" w:ascii="宋体" w:hAnsi="宋体" w:eastAsia="宋体" w:cs="宋体"/>
                <w:color w:val="auto"/>
                <w:kern w:val="0"/>
                <w:sz w:val="24"/>
                <w:szCs w:val="24"/>
                <w:highlight w:val="none"/>
                <w:lang w:val="en-US" w:eastAsia="zh-CN" w:bidi="ar-SA"/>
              </w:rPr>
            </w:pPr>
          </w:p>
        </w:tc>
      </w:tr>
    </w:tbl>
    <w:p>
      <w:pPr>
        <w:pStyle w:val="19"/>
        <w:spacing w:before="0" w:beforeAutospacing="0" w:after="0" w:afterAutospacing="0" w:line="480" w:lineRule="auto"/>
        <w:jc w:val="both"/>
        <w:rPr>
          <w:color w:val="auto"/>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8"/>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11"/>
        <w:keepNext w:val="0"/>
        <w:keepLines w:val="0"/>
        <w:pageBreakBefore w:val="0"/>
        <w:widowControl w:val="0"/>
        <w:numPr>
          <w:ilvl w:val="0"/>
          <w:numId w:val="2"/>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pPr>
        <w:pStyle w:val="11"/>
        <w:keepNext w:val="0"/>
        <w:keepLines w:val="0"/>
        <w:pageBreakBefore w:val="0"/>
        <w:widowControl w:val="0"/>
        <w:numPr>
          <w:ilvl w:val="0"/>
          <w:numId w:val="2"/>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pStyle w:val="19"/>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分项报价表</w:t>
      </w:r>
    </w:p>
    <w:p>
      <w:pPr>
        <w:jc w:val="both"/>
        <w:rPr>
          <w:rFonts w:hint="eastAsia" w:ascii="黑体" w:hAnsi="黑体" w:eastAsia="黑体" w:cs="黑体"/>
          <w:color w:val="auto"/>
          <w:sz w:val="32"/>
          <w:szCs w:val="32"/>
          <w:highlight w:val="none"/>
          <w:shd w:val="clear" w:color="auto" w:fill="FFFFFF"/>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libri Light">
    <w:panose1 w:val="020F0302020204030204"/>
    <w:charset w:val="00"/>
    <w:family w:val="modern"/>
    <w:pitch w:val="default"/>
    <w:sig w:usb0="E4002EFF" w:usb1="C200247B" w:usb2="00000009" w:usb3="00000000" w:csb0="200001FF" w:csb1="00000000"/>
  </w:font>
  <w:font w:name="Cambria">
    <w:panose1 w:val="02040503050406030204"/>
    <w:charset w:val="00"/>
    <w:family w:val="decorative"/>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decorative"/>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5097"/>
        <w:tab w:val="clear" w:pos="4153"/>
      </w:tabs>
      <w:ind w:right="360" w:firstLine="360"/>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22767394">
    <w:nsid w:val="7890FB22"/>
    <w:multiLevelType w:val="singleLevel"/>
    <w:tmpl w:val="7890FB22"/>
    <w:lvl w:ilvl="0" w:tentative="1">
      <w:start w:val="1"/>
      <w:numFmt w:val="decimal"/>
      <w:lvlText w:val="%1."/>
      <w:lvlJc w:val="left"/>
      <w:pPr>
        <w:tabs>
          <w:tab w:val="left" w:pos="312"/>
        </w:tabs>
      </w:pPr>
    </w:lvl>
  </w:abstractNum>
  <w:abstractNum w:abstractNumId="3036780560">
    <w:nsid w:val="B5019810"/>
    <w:multiLevelType w:val="singleLevel"/>
    <w:tmpl w:val="B5019810"/>
    <w:lvl w:ilvl="0" w:tentative="1">
      <w:start w:val="2"/>
      <w:numFmt w:val="decimal"/>
      <w:suff w:val="nothing"/>
      <w:lvlText w:val="（%1）"/>
      <w:lvlJc w:val="left"/>
    </w:lvl>
  </w:abstractNum>
  <w:num w:numId="1">
    <w:abstractNumId w:val="3036780560"/>
  </w:num>
  <w:num w:numId="2">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1B68"/>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A6265C"/>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2E070F9"/>
    <w:rsid w:val="13007405"/>
    <w:rsid w:val="13164460"/>
    <w:rsid w:val="137F4296"/>
    <w:rsid w:val="138F0A28"/>
    <w:rsid w:val="13924A4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BA1AFE"/>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1F2957"/>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3CA19D4"/>
    <w:rsid w:val="33E37680"/>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CC137C"/>
    <w:rsid w:val="37DB262D"/>
    <w:rsid w:val="37EB210B"/>
    <w:rsid w:val="37F81C64"/>
    <w:rsid w:val="381A0ED8"/>
    <w:rsid w:val="383A4A67"/>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C72CFB"/>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831036"/>
    <w:rsid w:val="3E9E427D"/>
    <w:rsid w:val="3EB66CCD"/>
    <w:rsid w:val="3EBA7094"/>
    <w:rsid w:val="3ED23E32"/>
    <w:rsid w:val="3ED52753"/>
    <w:rsid w:val="3EE15E23"/>
    <w:rsid w:val="3F1A64DC"/>
    <w:rsid w:val="3F2D72BA"/>
    <w:rsid w:val="3F826E18"/>
    <w:rsid w:val="402D47C9"/>
    <w:rsid w:val="404C7FFE"/>
    <w:rsid w:val="40676A47"/>
    <w:rsid w:val="41577B5D"/>
    <w:rsid w:val="415E7BFF"/>
    <w:rsid w:val="41B55E5D"/>
    <w:rsid w:val="41BF359E"/>
    <w:rsid w:val="41EC33D7"/>
    <w:rsid w:val="4222708E"/>
    <w:rsid w:val="426506CF"/>
    <w:rsid w:val="42674D95"/>
    <w:rsid w:val="429C09DF"/>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7D3216"/>
    <w:rsid w:val="478E1476"/>
    <w:rsid w:val="478E6941"/>
    <w:rsid w:val="47C618D6"/>
    <w:rsid w:val="484256D6"/>
    <w:rsid w:val="48545C58"/>
    <w:rsid w:val="48885DB2"/>
    <w:rsid w:val="48934611"/>
    <w:rsid w:val="48BD64DD"/>
    <w:rsid w:val="494B3E8B"/>
    <w:rsid w:val="496038EF"/>
    <w:rsid w:val="49A63EF1"/>
    <w:rsid w:val="49D70C24"/>
    <w:rsid w:val="4A617E1F"/>
    <w:rsid w:val="4AA63EC3"/>
    <w:rsid w:val="4AB93531"/>
    <w:rsid w:val="4ACC6915"/>
    <w:rsid w:val="4BD25472"/>
    <w:rsid w:val="4C657056"/>
    <w:rsid w:val="4C6E544A"/>
    <w:rsid w:val="4D000563"/>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19A07DF"/>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656C38"/>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C86D90"/>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AEF34F2"/>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0D040A"/>
    <w:rsid w:val="71241F4D"/>
    <w:rsid w:val="71CB182F"/>
    <w:rsid w:val="7202437F"/>
    <w:rsid w:val="722271E0"/>
    <w:rsid w:val="72631EC7"/>
    <w:rsid w:val="72641D42"/>
    <w:rsid w:val="72731008"/>
    <w:rsid w:val="72911492"/>
    <w:rsid w:val="72CC70E6"/>
    <w:rsid w:val="73123AD6"/>
    <w:rsid w:val="737547B1"/>
    <w:rsid w:val="73832D6F"/>
    <w:rsid w:val="73B2343C"/>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0C467F"/>
    <w:rsid w:val="7F1F5DDE"/>
    <w:rsid w:val="7F4E3550"/>
    <w:rsid w:val="7F7F16EC"/>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5">
    <w:name w:val="Body Text First Indent"/>
    <w:basedOn w:val="6"/>
    <w:next w:val="7"/>
    <w:qFormat/>
    <w:uiPriority w:val="0"/>
    <w:pPr>
      <w:spacing w:after="120" w:line="240" w:lineRule="auto"/>
      <w:ind w:firstLine="100" w:firstLineChars="100"/>
    </w:pPr>
    <w:rPr>
      <w:sz w:val="21"/>
    </w:rPr>
  </w:style>
  <w:style w:type="paragraph" w:styleId="6">
    <w:name w:val="Body Text"/>
    <w:basedOn w:val="1"/>
    <w:next w:val="5"/>
    <w:qFormat/>
    <w:uiPriority w:val="0"/>
    <w:pPr>
      <w:spacing w:line="380" w:lineRule="exact"/>
    </w:pPr>
    <w:rPr>
      <w:sz w:val="24"/>
    </w:rPr>
  </w:style>
  <w:style w:type="paragraph" w:styleId="7">
    <w:name w:val="toc 6"/>
    <w:basedOn w:val="1"/>
    <w:next w:val="1"/>
    <w:unhideWhenUsed/>
    <w:qFormat/>
    <w:uiPriority w:val="39"/>
    <w:pPr>
      <w:ind w:left="1050"/>
      <w:jc w:val="left"/>
    </w:pPr>
    <w:rPr>
      <w:rFonts w:cs="Calibri"/>
      <w:sz w:val="18"/>
      <w:szCs w:val="18"/>
    </w:rPr>
  </w:style>
  <w:style w:type="paragraph" w:styleId="8">
    <w:name w:val="Normal Indent"/>
    <w:basedOn w:val="1"/>
    <w:qFormat/>
    <w:uiPriority w:val="0"/>
    <w:pPr>
      <w:ind w:firstLine="420"/>
    </w:pPr>
  </w:style>
  <w:style w:type="paragraph" w:styleId="9">
    <w:name w:val="annotation text"/>
    <w:basedOn w:val="1"/>
    <w:unhideWhenUsed/>
    <w:qFormat/>
    <w:uiPriority w:val="99"/>
    <w:pPr>
      <w:jc w:val="left"/>
    </w:p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Strong"/>
    <w:basedOn w:val="21"/>
    <w:qFormat/>
    <w:uiPriority w:val="0"/>
    <w:rPr>
      <w:b/>
    </w:rPr>
  </w:style>
  <w:style w:type="character" w:styleId="23">
    <w:name w:val="FollowedHyperlink"/>
    <w:basedOn w:val="21"/>
    <w:unhideWhenUsed/>
    <w:qFormat/>
    <w:uiPriority w:val="99"/>
    <w:rPr>
      <w:color w:val="525252"/>
      <w:sz w:val="27"/>
      <w:szCs w:val="27"/>
      <w:u w:val="none"/>
    </w:rPr>
  </w:style>
  <w:style w:type="character" w:styleId="24">
    <w:name w:val="Emphasis"/>
    <w:basedOn w:val="21"/>
    <w:qFormat/>
    <w:uiPriority w:val="20"/>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unhideWhenUsed/>
    <w:qFormat/>
    <w:uiPriority w:val="99"/>
    <w:rPr>
      <w:color w:val="0000FF"/>
      <w:u w:val="single"/>
    </w:rPr>
  </w:style>
  <w:style w:type="character" w:styleId="28">
    <w:name w:val="HTML Code"/>
    <w:basedOn w:val="21"/>
    <w:unhideWhenUsed/>
    <w:qFormat/>
    <w:uiPriority w:val="99"/>
    <w:rPr>
      <w:rFonts w:ascii="Courier New" w:hAnsi="Courier New"/>
      <w:sz w:val="20"/>
    </w:rPr>
  </w:style>
  <w:style w:type="character" w:styleId="29">
    <w:name w:val="HTML Cite"/>
    <w:basedOn w:val="21"/>
    <w:unhideWhenUsed/>
    <w:qFormat/>
    <w:uiPriority w:val="99"/>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character" w:customStyle="1" w:styleId="56">
    <w:name w:val="font112"/>
    <w:basedOn w:val="21"/>
    <w:qFormat/>
    <w:uiPriority w:val="0"/>
    <w:rPr>
      <w:rFonts w:hint="eastAsia" w:ascii="微软雅黑" w:hAnsi="微软雅黑" w:eastAsia="微软雅黑" w:cs="微软雅黑"/>
      <w:b/>
      <w:bCs/>
      <w:color w:val="000000"/>
      <w:sz w:val="32"/>
      <w:szCs w:val="32"/>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3385</Words>
  <Characters>3602</Characters>
  <Lines>16</Lines>
  <Paragraphs>4</Paragraphs>
  <ScaleCrop>false</ScaleCrop>
  <LinksUpToDate>false</LinksUpToDate>
  <CharactersWithSpaces>3963</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2023-02-20T08:54:00Z</cp:lastPrinted>
  <dcterms:modified xsi:type="dcterms:W3CDTF">2025-03-11T09:07:39Z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D3B0E7EF1DED41A8B5141BAEF415DB7C_13</vt:lpwstr>
  </property>
  <property fmtid="{D5CDD505-2E9C-101B-9397-08002B2CF9AE}" pid="4" name="KSOTemplateDocerSaveRecord">
    <vt:lpwstr>eyJoZGlkIjoiNmYwZDBkMzY4NDFjM2M4ODNiNTE5OWZjNzQ2NTQxODkiLCJ1c2VySWQiOiIyOTA1Mzk1MDYifQ==</vt:lpwstr>
  </property>
</Properties>
</file>