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AF5D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7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bookmarkEnd w:id="7"/>
    <w:p w14:paraId="762CBC0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425EA04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710DCA4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 w14:paraId="31884FD1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＜3家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本次比选失败。</w:t>
      </w:r>
    </w:p>
    <w:p w14:paraId="091A02C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≥3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家时，将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办法中规定的各项因素进行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</w:t>
      </w:r>
    </w:p>
    <w:p w14:paraId="5CD38F8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报价由低到高、技术部分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得分由高到低、商务部分得分由高到低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 w14:paraId="5AE72A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 w14:paraId="25CADD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50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48B203B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）商务部分得分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20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02212E21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30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31DE9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 w14:paraId="6311E599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50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29C3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3DC74FF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4C98BCB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6499F0D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782A7C1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 w14:paraId="49FB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28FF6D5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0FE7570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1096BD9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 w14:paraId="7D41C5B0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根据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报价情况进行评价：</w:t>
            </w:r>
          </w:p>
          <w:p w14:paraId="05484272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①①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报价金额不得超过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公布的最高限价金额（即含税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299800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元），报价（税前）由低到高排序，第一名得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0分，第二名得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5分，第三名得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0分。其它名次得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5分。</w:t>
            </w:r>
          </w:p>
          <w:p w14:paraId="3FBEA501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②报价相同的视为同一名。</w:t>
            </w:r>
          </w:p>
        </w:tc>
      </w:tr>
    </w:tbl>
    <w:p w14:paraId="180DF7C1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20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 w14:paraId="1A4A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 w14:paraId="29C88DB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 w14:paraId="45D1595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 w14:paraId="31D6007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 w14:paraId="5B36109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 w14:paraId="077F9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 w14:paraId="2F81724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noWrap w:val="0"/>
            <w:vAlign w:val="center"/>
          </w:tcPr>
          <w:p w14:paraId="13A7F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商务评分标准</w:t>
            </w:r>
          </w:p>
        </w:tc>
        <w:tc>
          <w:tcPr>
            <w:tcW w:w="1389" w:type="dxa"/>
            <w:noWrap w:val="0"/>
            <w:vAlign w:val="center"/>
          </w:tcPr>
          <w:p w14:paraId="0C1C4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u w:val="singl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分</w:t>
            </w:r>
          </w:p>
        </w:tc>
        <w:tc>
          <w:tcPr>
            <w:tcW w:w="6272" w:type="dxa"/>
            <w:noWrap w:val="0"/>
            <w:vAlign w:val="center"/>
          </w:tcPr>
          <w:p w14:paraId="42F62058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企业类似业绩情况（20分）</w:t>
            </w:r>
          </w:p>
          <w:p w14:paraId="500D9732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同类项目业绩满足资格审查最低要求，得基本分12分；每增加一项独立设计搭建面积≥20㎡的地产展厅或展位类似业绩的加2分，本项满分20分。</w:t>
            </w:r>
          </w:p>
          <w:p w14:paraId="3782D372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注：比选申请人应提供业绩合同原件扫描件，合同须体现合同签订时间、签约主体、合作内容、项目搭建面积及合同盖章页、发票复印件（需要“国家税务总局全国增值税发票查验平台”验真截图）等业绩指标要求的所有内容，如业绩合同未能反映比选文件要求的，比选申请人需提供其他佐证材料证明。否则，评估人员可作出不利于比选申请人的认定。业绩时间以业绩合同签订之日为准。</w:t>
            </w:r>
          </w:p>
        </w:tc>
      </w:tr>
    </w:tbl>
    <w:p w14:paraId="0431FD15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30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1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 w14:paraId="5C1F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 w14:paraId="583CC58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 w14:paraId="0A0AD65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 w14:paraId="4A7D8BD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 w14:paraId="207D623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 w14:paraId="59F95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 w14:paraId="6DD2700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noWrap w:val="0"/>
            <w:vAlign w:val="center"/>
          </w:tcPr>
          <w:p w14:paraId="370BBB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技术评分标准</w:t>
            </w:r>
          </w:p>
        </w:tc>
        <w:tc>
          <w:tcPr>
            <w:tcW w:w="1389" w:type="dxa"/>
            <w:noWrap w:val="0"/>
            <w:vAlign w:val="center"/>
          </w:tcPr>
          <w:p w14:paraId="1AB875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u w:val="singl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分</w:t>
            </w:r>
          </w:p>
        </w:tc>
        <w:tc>
          <w:tcPr>
            <w:tcW w:w="6272" w:type="dxa"/>
            <w:noWrap w:val="0"/>
            <w:vAlign w:val="center"/>
          </w:tcPr>
          <w:p w14:paraId="254F865A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根据提交展厅设计方案进行打分。</w:t>
            </w:r>
          </w:p>
          <w:p w14:paraId="597D61FB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1.设计理念（13分）：设计主题围绕公司品牌与项目特色，从色彩、造型、展示内容等全方位体现，满足相关规范要求得基本分8分，能精准将品牌理念融入设计细节，加1～5分，本项最高得13分。</w:t>
            </w:r>
          </w:p>
          <w:p w14:paraId="242DAB90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2.空间规划（10分）：展厅空间功能分区明确，划分接待区、展示区、洽谈区、休息区等，满足相关规范要求得基本分8分，各区域面积分配合理，流畅划分满足需求，加1～2分，本项最高得10分。</w:t>
            </w:r>
          </w:p>
          <w:p w14:paraId="13239433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.展示效果（7分）；运用丰富且协调的色彩搭配、创意造型等设计，使展厅在众多竞品中脱颖而出。展示内容的排版和呈现方式清晰明了，能够快速、准确地向客户传达项目关键信息，满足相关规范要求得基本分5分，创意效果突出，加1～2分，本项最高得7分。</w:t>
            </w:r>
          </w:p>
        </w:tc>
      </w:tr>
    </w:tbl>
    <w:p w14:paraId="042D3282">
      <w:pPr>
        <w:widowControl/>
        <w:spacing w:line="500" w:lineRule="exact"/>
        <w:ind w:firstLine="480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注：以上证明文件均应加盖比选申请人单位公章。</w:t>
      </w:r>
    </w:p>
    <w:p w14:paraId="5CE5C8EE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B464A4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E1E12"/>
    <w:rsid w:val="07EF6015"/>
    <w:rsid w:val="07F3177B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2DD1C00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A8244F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DF84715"/>
    <w:rsid w:val="1E0B5868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8609C9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D31B41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1470F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2FE0D52"/>
    <w:rsid w:val="43443D72"/>
    <w:rsid w:val="434877D8"/>
    <w:rsid w:val="434F03DE"/>
    <w:rsid w:val="43936CA2"/>
    <w:rsid w:val="43B808F8"/>
    <w:rsid w:val="444A0304"/>
    <w:rsid w:val="444E7CA8"/>
    <w:rsid w:val="449F0DA3"/>
    <w:rsid w:val="44F3082D"/>
    <w:rsid w:val="44F96048"/>
    <w:rsid w:val="450A60D4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3438D"/>
    <w:rsid w:val="48BD64DD"/>
    <w:rsid w:val="494B3E8B"/>
    <w:rsid w:val="49A63EF1"/>
    <w:rsid w:val="49D70C24"/>
    <w:rsid w:val="4A26732F"/>
    <w:rsid w:val="4A617E1F"/>
    <w:rsid w:val="4AA63EC3"/>
    <w:rsid w:val="4AB93531"/>
    <w:rsid w:val="4ACC6915"/>
    <w:rsid w:val="4BD25472"/>
    <w:rsid w:val="4C657056"/>
    <w:rsid w:val="4C6E544A"/>
    <w:rsid w:val="4D122BF3"/>
    <w:rsid w:val="4D547FED"/>
    <w:rsid w:val="4D5F2D35"/>
    <w:rsid w:val="4D764FBA"/>
    <w:rsid w:val="4D766398"/>
    <w:rsid w:val="4D7A44C1"/>
    <w:rsid w:val="4DA20A88"/>
    <w:rsid w:val="4DA44C92"/>
    <w:rsid w:val="4DD4528D"/>
    <w:rsid w:val="4DF24E96"/>
    <w:rsid w:val="4E010DC6"/>
    <w:rsid w:val="4E077249"/>
    <w:rsid w:val="4E2E4D08"/>
    <w:rsid w:val="4E5A7C30"/>
    <w:rsid w:val="4E727955"/>
    <w:rsid w:val="4E8D38D2"/>
    <w:rsid w:val="4E955836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E20E04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6677F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4246</Words>
  <Characters>4459</Characters>
  <Lines>16</Lines>
  <Paragraphs>4</Paragraphs>
  <TotalTime>5</TotalTime>
  <ScaleCrop>false</ScaleCrop>
  <LinksUpToDate>false</LinksUpToDate>
  <CharactersWithSpaces>4850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2025-04-23T01:48:32Z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8484FDD5290A486D89AE6097B64B8DF2_13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